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948E" w14:textId="77777777" w:rsidR="005415D2" w:rsidRDefault="00083003">
      <w:r>
        <w:rPr>
          <w:noProof/>
        </w:rPr>
        <w:drawing>
          <wp:anchor distT="0" distB="0" distL="114300" distR="114300" simplePos="0" relativeHeight="251657728" behindDoc="1" locked="0" layoutInCell="1" allowOverlap="1" wp14:anchorId="7572FDC7" wp14:editId="577EA803">
            <wp:simplePos x="0" y="0"/>
            <wp:positionH relativeFrom="column">
              <wp:posOffset>4167505</wp:posOffset>
            </wp:positionH>
            <wp:positionV relativeFrom="paragraph">
              <wp:posOffset>-320675</wp:posOffset>
            </wp:positionV>
            <wp:extent cx="1945640" cy="1176020"/>
            <wp:effectExtent l="0" t="0" r="16510" b="508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45640" cy="1176020"/>
                    </a:xfrm>
                    <a:prstGeom prst="rect">
                      <a:avLst/>
                    </a:prstGeom>
                    <a:noFill/>
                  </pic:spPr>
                </pic:pic>
              </a:graphicData>
            </a:graphic>
            <wp14:sizeRelH relativeFrom="page">
              <wp14:pctWidth>0</wp14:pctWidth>
            </wp14:sizeRelH>
            <wp14:sizeRelV relativeFrom="page">
              <wp14:pctHeight>0</wp14:pctHeight>
            </wp14:sizeRelV>
          </wp:anchor>
        </w:drawing>
      </w:r>
    </w:p>
    <w:p w14:paraId="0FC5E042" w14:textId="77777777" w:rsidR="005415D2" w:rsidRDefault="005415D2"/>
    <w:p w14:paraId="35390132" w14:textId="77777777" w:rsidR="005415D2" w:rsidRDefault="005415D2"/>
    <w:p w14:paraId="66EF9E00" w14:textId="77777777" w:rsidR="005415D2" w:rsidRDefault="005415D2"/>
    <w:p w14:paraId="118D40BE" w14:textId="77777777" w:rsidR="005415D2" w:rsidRDefault="005415D2"/>
    <w:p w14:paraId="72F96B39" w14:textId="77777777" w:rsidR="005415D2" w:rsidRDefault="005415D2"/>
    <w:p w14:paraId="65935E5E" w14:textId="77777777" w:rsidR="005415D2" w:rsidRDefault="005415D2"/>
    <w:p w14:paraId="6198354E" w14:textId="77777777" w:rsidR="005415D2" w:rsidRDefault="005415D2"/>
    <w:p w14:paraId="2741E687" w14:textId="77777777" w:rsidR="005415D2" w:rsidRDefault="005415D2"/>
    <w:p w14:paraId="26357FD1" w14:textId="77777777" w:rsidR="005415D2" w:rsidRPr="00AF3063" w:rsidRDefault="00083003" w:rsidP="00E659A8">
      <w:pPr>
        <w:pStyle w:val="TOCHeading"/>
        <w:spacing w:after="0"/>
        <w:rPr>
          <w:rFonts w:ascii="Montserrat" w:hAnsi="Montserrat"/>
          <w:b/>
          <w:bCs w:val="0"/>
          <w:color w:val="006890"/>
        </w:rPr>
      </w:pPr>
      <w:r w:rsidRPr="00AF3063">
        <w:rPr>
          <w:rFonts w:ascii="Montserrat" w:hAnsi="Montserrat"/>
          <w:b/>
          <w:bCs w:val="0"/>
          <w:color w:val="006890"/>
        </w:rPr>
        <w:t xml:space="preserve">Supply Base Report: </w:t>
      </w:r>
    </w:p>
    <w:p w14:paraId="6D75464C" w14:textId="77777777" w:rsidR="005415D2" w:rsidRPr="00AF3063" w:rsidRDefault="00083003">
      <w:pPr>
        <w:pStyle w:val="TOCHeading"/>
        <w:rPr>
          <w:rFonts w:ascii="Montserrat" w:hAnsi="Montserrat"/>
          <w:b/>
          <w:bCs w:val="0"/>
          <w:color w:val="006890"/>
        </w:rPr>
      </w:pPr>
      <w:proofErr w:type="spellStart"/>
      <w:r w:rsidRPr="00AF3063">
        <w:rPr>
          <w:rFonts w:ascii="Montserrat" w:hAnsi="Montserrat"/>
          <w:b/>
          <w:bCs w:val="0"/>
          <w:color w:val="006890"/>
        </w:rPr>
        <w:t>Pusbroliai</w:t>
      </w:r>
      <w:proofErr w:type="spellEnd"/>
      <w:r w:rsidRPr="00AF3063">
        <w:rPr>
          <w:rFonts w:ascii="Montserrat" w:hAnsi="Montserrat"/>
          <w:b/>
          <w:bCs w:val="0"/>
          <w:color w:val="006890"/>
        </w:rPr>
        <w:t xml:space="preserve"> UAB</w:t>
      </w:r>
    </w:p>
    <w:p w14:paraId="4716B57D" w14:textId="77777777" w:rsidR="005415D2" w:rsidRDefault="005415D2">
      <w:pPr>
        <w:pStyle w:val="TOCHeading"/>
        <w:rPr>
          <w:rFonts w:ascii="Montserrat" w:hAnsi="Montserrat"/>
          <w:color w:val="006890"/>
          <w:sz w:val="32"/>
          <w:szCs w:val="32"/>
        </w:rPr>
      </w:pPr>
    </w:p>
    <w:p w14:paraId="4D3D5B32" w14:textId="77777777" w:rsidR="005415D2" w:rsidRDefault="005415D2">
      <w:pPr>
        <w:rPr>
          <w:color w:val="808080" w:themeColor="background1" w:themeShade="80"/>
          <w:sz w:val="32"/>
          <w:szCs w:val="32"/>
          <w:lang w:val="en-US"/>
        </w:rPr>
      </w:pPr>
    </w:p>
    <w:p w14:paraId="45E05E63" w14:textId="77777777" w:rsidR="005415D2" w:rsidRPr="00AF3063" w:rsidRDefault="00083003">
      <w:pPr>
        <w:pStyle w:val="TOCHeading"/>
        <w:rPr>
          <w:rFonts w:ascii="Montserrat" w:hAnsi="Montserrat"/>
          <w:color w:val="006890"/>
          <w:sz w:val="36"/>
          <w:szCs w:val="36"/>
        </w:rPr>
      </w:pPr>
      <w:r w:rsidRPr="00AF3063">
        <w:rPr>
          <w:rFonts w:ascii="Montserrat" w:hAnsi="Montserrat"/>
          <w:color w:val="006890"/>
          <w:sz w:val="36"/>
          <w:szCs w:val="36"/>
        </w:rPr>
        <w:t>Second Surveillance Audit</w:t>
      </w:r>
    </w:p>
    <w:p w14:paraId="4B91D1E8" w14:textId="77777777" w:rsidR="005415D2" w:rsidRDefault="005415D2">
      <w:pPr>
        <w:rPr>
          <w:color w:val="808080" w:themeColor="background1" w:themeShade="80"/>
          <w:sz w:val="32"/>
          <w:szCs w:val="32"/>
          <w:lang w:val="en-US"/>
        </w:rPr>
      </w:pPr>
    </w:p>
    <w:p w14:paraId="342E983C" w14:textId="77777777" w:rsidR="005415D2" w:rsidRDefault="005415D2">
      <w:pPr>
        <w:rPr>
          <w:color w:val="808080" w:themeColor="background1" w:themeShade="80"/>
          <w:sz w:val="32"/>
          <w:szCs w:val="32"/>
          <w:lang w:val="en-US"/>
        </w:rPr>
      </w:pPr>
    </w:p>
    <w:p w14:paraId="7A92FF4C" w14:textId="77777777" w:rsidR="005415D2" w:rsidRDefault="005415D2">
      <w:pPr>
        <w:rPr>
          <w:color w:val="808080" w:themeColor="background1" w:themeShade="80"/>
          <w:sz w:val="32"/>
          <w:szCs w:val="32"/>
          <w:lang w:val="en-US"/>
        </w:rPr>
      </w:pPr>
    </w:p>
    <w:p w14:paraId="74590E14" w14:textId="77777777" w:rsidR="005415D2" w:rsidRPr="00AF3063" w:rsidRDefault="00083003">
      <w:pPr>
        <w:rPr>
          <w:rFonts w:ascii="Montserrat Light" w:hAnsi="Montserrat Light"/>
          <w:color w:val="006890"/>
          <w:lang w:val="en-US"/>
        </w:rPr>
      </w:pPr>
      <w:r w:rsidRPr="00AF3063">
        <w:rPr>
          <w:rFonts w:ascii="Montserrat Light" w:hAnsi="Montserrat Light"/>
          <w:color w:val="006890"/>
          <w:lang w:val="en-US"/>
        </w:rPr>
        <w:t>www.sbp-cert.org</w:t>
      </w:r>
    </w:p>
    <w:p w14:paraId="177DFEB1" w14:textId="77777777" w:rsidR="005415D2" w:rsidRDefault="005415D2">
      <w:pPr>
        <w:spacing w:after="0" w:line="240" w:lineRule="auto"/>
        <w:rPr>
          <w:lang w:val="en-US"/>
        </w:rPr>
      </w:pPr>
    </w:p>
    <w:p w14:paraId="469A2134" w14:textId="276E3AFD" w:rsidR="005415D2" w:rsidRPr="005B5CFF" w:rsidRDefault="00083003">
      <w:pPr>
        <w:spacing w:after="0" w:line="240" w:lineRule="auto"/>
        <w:rPr>
          <w:rFonts w:ascii="Times New Roman" w:hAnsi="Times New Roman" w:cs="Times New Roman"/>
          <w:sz w:val="24"/>
          <w:szCs w:val="24"/>
          <w:lang w:val="en-US" w:eastAsia="nl-NL"/>
        </w:rPr>
      </w:pPr>
      <w:r>
        <w:rPr>
          <w:noProof/>
        </w:rPr>
        <w:drawing>
          <wp:anchor distT="0" distB="0" distL="114300" distR="114300" simplePos="0" relativeHeight="251658752" behindDoc="1" locked="0" layoutInCell="1" allowOverlap="1" wp14:anchorId="31006A82" wp14:editId="7802DAE2">
            <wp:simplePos x="0" y="0"/>
            <wp:positionH relativeFrom="page">
              <wp:align>left</wp:align>
            </wp:positionH>
            <wp:positionV relativeFrom="paragraph">
              <wp:posOffset>1325245</wp:posOffset>
            </wp:positionV>
            <wp:extent cx="7620000" cy="14986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000" cy="1498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eastAsia="nl-NL"/>
        </w:rPr>
        <w:br w:type="page"/>
      </w:r>
      <w:r>
        <w:rPr>
          <w:rFonts w:ascii="Times New Roman" w:hAnsi="Times New Roman" w:cs="Times New Roman"/>
          <w:noProof/>
          <w:sz w:val="24"/>
          <w:szCs w:val="24"/>
          <w:lang w:val="nl-NL" w:eastAsia="nl-NL"/>
        </w:rPr>
        <w:lastRenderedPageBreak/>
        <mc:AlternateContent>
          <mc:Choice Requires="wps">
            <w:drawing>
              <wp:anchor distT="0" distB="0" distL="114300" distR="114300" simplePos="0" relativeHeight="251658241" behindDoc="0" locked="0" layoutInCell="1" allowOverlap="1" wp14:anchorId="20941241" wp14:editId="6B8D0EB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wps:spPr>
                      <wps:txbx>
                        <w:txbxContent>
                          <w:p w14:paraId="1D7A9125" w14:textId="77777777" w:rsidR="005415D2" w:rsidRPr="00AF3063" w:rsidRDefault="00083003">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1.4</w:t>
                            </w:r>
                          </w:p>
                          <w:p w14:paraId="021F0C4A" w14:textId="77777777" w:rsidR="005415D2" w:rsidRDefault="005415D2">
                            <w:pPr>
                              <w:rPr>
                                <w:b/>
                                <w:i/>
                                <w:color w:val="006691"/>
                                <w:sz w:val="24"/>
                                <w:szCs w:val="24"/>
                                <w:lang w:val="en-US"/>
                              </w:rPr>
                            </w:pPr>
                          </w:p>
                          <w:p w14:paraId="7C27302C" w14:textId="77777777" w:rsidR="005415D2" w:rsidRDefault="005415D2">
                            <w:pPr>
                              <w:rPr>
                                <w:lang w:val="en-US"/>
                              </w:rPr>
                            </w:pPr>
                          </w:p>
                          <w:p w14:paraId="066FF829" w14:textId="77777777" w:rsidR="005415D2" w:rsidRDefault="00083003">
                            <w:pPr>
                              <w:rPr>
                                <w:lang w:val="en-US"/>
                              </w:rPr>
                            </w:pPr>
                            <w:r>
                              <w:rPr>
                                <w:i/>
                                <w:lang w:val="en-US"/>
                              </w:rPr>
                              <w:t xml:space="preserve">For further information on the SBP Framework and to view the full set of documentation see </w:t>
                            </w:r>
                            <w:hyperlink r:id="rId7" w:history="1">
                              <w:r>
                                <w:rPr>
                                  <w:rStyle w:val="Hyperlink"/>
                                  <w:i/>
                                  <w:color w:val="006890"/>
                                  <w:lang w:val="en-US"/>
                                </w:rPr>
                                <w:t>www.sbp-cert.org</w:t>
                              </w:r>
                            </w:hyperlink>
                          </w:p>
                          <w:p w14:paraId="108FDDCB" w14:textId="77777777" w:rsidR="005415D2" w:rsidRDefault="005415D2">
                            <w:pPr>
                              <w:rPr>
                                <w:i/>
                                <w:lang w:val="en-US"/>
                              </w:rPr>
                            </w:pPr>
                          </w:p>
                          <w:p w14:paraId="7A3C5E41" w14:textId="77777777" w:rsidR="005415D2" w:rsidRPr="00AF3063" w:rsidRDefault="00083003">
                            <w:pPr>
                              <w:rPr>
                                <w:rFonts w:cs="Arial"/>
                                <w:i/>
                                <w:lang w:val="en-US"/>
                              </w:rPr>
                            </w:pPr>
                            <w:r w:rsidRPr="00AF3063">
                              <w:rPr>
                                <w:rFonts w:cs="Arial"/>
                                <w:i/>
                                <w:lang w:val="en-US"/>
                              </w:rPr>
                              <w:t>Document history</w:t>
                            </w:r>
                          </w:p>
                          <w:p w14:paraId="78F8D593" w14:textId="77777777" w:rsidR="005415D2" w:rsidRPr="00AF3063" w:rsidRDefault="00083003">
                            <w:pPr>
                              <w:rPr>
                                <w:rFonts w:cs="Arial"/>
                                <w:i/>
                                <w:lang w:val="en-US"/>
                              </w:rPr>
                            </w:pPr>
                            <w:r w:rsidRPr="00AF3063">
                              <w:rPr>
                                <w:rFonts w:cs="Arial"/>
                                <w:i/>
                                <w:lang w:val="en-US"/>
                              </w:rPr>
                              <w:t>Version 1.0: published 26 March 2015</w:t>
                            </w:r>
                          </w:p>
                          <w:p w14:paraId="7D26733E" w14:textId="77777777" w:rsidR="005415D2" w:rsidRPr="00AF3063" w:rsidRDefault="00083003">
                            <w:pPr>
                              <w:rPr>
                                <w:rFonts w:cs="Arial"/>
                                <w:i/>
                                <w:lang w:val="en-US"/>
                              </w:rPr>
                            </w:pPr>
                            <w:r w:rsidRPr="00AF3063">
                              <w:rPr>
                                <w:rFonts w:cs="Arial"/>
                                <w:i/>
                                <w:lang w:val="en-US"/>
                              </w:rPr>
                              <w:t>Version 1.1 published 22 February 2016</w:t>
                            </w:r>
                          </w:p>
                          <w:p w14:paraId="472001B1" w14:textId="77777777" w:rsidR="005415D2" w:rsidRPr="00AF3063" w:rsidRDefault="00083003">
                            <w:pPr>
                              <w:rPr>
                                <w:rFonts w:cs="Arial"/>
                                <w:i/>
                                <w:lang w:val="en-US"/>
                              </w:rPr>
                            </w:pPr>
                            <w:r w:rsidRPr="00AF3063">
                              <w:rPr>
                                <w:rFonts w:cs="Arial"/>
                                <w:i/>
                                <w:lang w:val="en-US"/>
                              </w:rPr>
                              <w:t>Version 1.2 published 23 June 2016</w:t>
                            </w:r>
                          </w:p>
                          <w:p w14:paraId="31EDB9FE" w14:textId="77777777" w:rsidR="005415D2" w:rsidRPr="00AF3063" w:rsidRDefault="00083003">
                            <w:pPr>
                              <w:rPr>
                                <w:rFonts w:cs="Arial"/>
                                <w:i/>
                                <w:lang w:val="en-US"/>
                              </w:rPr>
                            </w:pPr>
                            <w:r w:rsidRPr="00AF3063">
                              <w:rPr>
                                <w:rFonts w:cs="Arial"/>
                                <w:i/>
                                <w:lang w:val="en-US"/>
                              </w:rPr>
                              <w:t>Version 1.3 published 14 January 2019; re-published 3 April 2020</w:t>
                            </w:r>
                          </w:p>
                          <w:p w14:paraId="0805252F" w14:textId="77777777" w:rsidR="005415D2" w:rsidRPr="00AF3063" w:rsidRDefault="00083003">
                            <w:pPr>
                              <w:rPr>
                                <w:rFonts w:cs="Arial"/>
                                <w:i/>
                                <w:lang w:val="en-US"/>
                              </w:rPr>
                            </w:pPr>
                            <w:r w:rsidRPr="00AF3063">
                              <w:rPr>
                                <w:rFonts w:cs="Arial"/>
                                <w:i/>
                                <w:lang w:val="en-US"/>
                              </w:rPr>
                              <w:t>Version 1.4 published 22 October 2020</w:t>
                            </w:r>
                          </w:p>
                          <w:p w14:paraId="487042BB" w14:textId="77777777" w:rsidR="005415D2" w:rsidRDefault="005415D2">
                            <w:pPr>
                              <w:rPr>
                                <w:i/>
                                <w:lang w:val="en-US"/>
                              </w:rPr>
                            </w:pPr>
                          </w:p>
                          <w:p w14:paraId="15BCE4CA" w14:textId="77777777" w:rsidR="005415D2" w:rsidRDefault="005415D2">
                            <w:pPr>
                              <w:rPr>
                                <w:i/>
                                <w:lang w:val="en-US"/>
                              </w:rPr>
                            </w:pPr>
                          </w:p>
                          <w:p w14:paraId="0AA1DF98" w14:textId="77777777" w:rsidR="005415D2" w:rsidRPr="00AF3063" w:rsidRDefault="00083003">
                            <w:pPr>
                              <w:rPr>
                                <w:rFonts w:cs="Arial"/>
                                <w:iCs/>
                                <w:lang w:val="en-US"/>
                              </w:rPr>
                            </w:pPr>
                            <w:r w:rsidRPr="00AF3063">
                              <w:rPr>
                                <w:rFonts w:cs="Arial"/>
                                <w:iCs/>
                                <w:lang w:val="en-US"/>
                              </w:rPr>
                              <w:t>© Copyright Sustainable Biomass Program Limited 2020</w:t>
                            </w:r>
                          </w:p>
                          <w:p w14:paraId="7F0B8542" w14:textId="77777777" w:rsidR="005415D2" w:rsidRDefault="005415D2">
                            <w:pPr>
                              <w:rPr>
                                <w: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type id="_x0000_t202" coordsize="21600,21600" o:spt="202" path="m,l,21600r21600,l21600,xe" w14:anchorId="20941241">
                <v:stroke joinstyle="miter"/>
                <v:path gradientshapeok="t" o:connecttype="rect"/>
              </v:shapetype>
              <v:shape id="Text Box 4" style="position:absolute;margin-left:76.5pt;margin-top:309.75pt;width:441pt;height:45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">
                <v:textbox inset="0,0,0,0">
                  <w:txbxContent>
                    <w:p w:rsidRPr="00AF3063" w:rsidR="005415D2" w:rsidRDefault="00083003" w14:paraId="1D7A9125" w14:textId="77777777">
                      <w:pPr>
                        <w:spacing w:after="0" w:line="240" w:lineRule="auto"/>
                        <w:rPr>
                          <w:rFonts w:ascii="Montserrat ExtraBold" w:hAnsi="Montserrat ExtraBold"/>
                          <w:b/>
                          <w:color w:val="006890"/>
                          <w:sz w:val="22"/>
                          <w:szCs w:val="22"/>
                          <w:lang w:val="en-US"/>
                        </w:rPr>
                      </w:pPr>
                      <w:r w:rsidRPr="00AF3063">
                        <w:rPr>
                          <w:rFonts w:ascii="Montserrat ExtraBold" w:hAnsi="Montserrat ExtraBold" w:eastAsiaTheme="majorEastAsia" w:cstheme="majorBidi"/>
                          <w:color w:val="006890"/>
                          <w:spacing w:val="5"/>
                          <w:kern w:val="28"/>
                          <w:sz w:val="36"/>
                          <w:szCs w:val="36"/>
                          <w:lang w:val="en-US"/>
                        </w:rPr>
                        <w:t>Completed in accordance with the Supply Base Report Template Version 1.4</w:t>
                      </w:r>
                    </w:p>
                    <w:p w:rsidR="005415D2" w:rsidRDefault="005415D2" w14:paraId="021F0C4A" w14:textId="77777777">
                      <w:pPr>
                        <w:rPr>
                          <w:b/>
                          <w:i/>
                          <w:color w:val="006691"/>
                          <w:sz w:val="24"/>
                          <w:szCs w:val="24"/>
                          <w:lang w:val="en-US"/>
                        </w:rPr>
                      </w:pPr>
                    </w:p>
                    <w:p w:rsidR="005415D2" w:rsidRDefault="005415D2" w14:paraId="7C27302C" w14:textId="77777777">
                      <w:pPr>
                        <w:rPr>
                          <w:lang w:val="en-US"/>
                        </w:rPr>
                      </w:pPr>
                    </w:p>
                    <w:p w:rsidR="005415D2" w:rsidRDefault="00083003" w14:paraId="066FF829" w14:textId="77777777">
                      <w:pPr>
                        <w:rPr>
                          <w:lang w:val="en-US"/>
                        </w:rPr>
                      </w:pPr>
                      <w:r>
                        <w:rPr>
                          <w:i/>
                          <w:lang w:val="en-US"/>
                        </w:rPr>
                        <w:t xml:space="preserve">For further information on the SBP Framework and to view the full set of documentation see </w:t>
                      </w:r>
                      <w:hyperlink w:history="1" r:id="rId8">
                        <w:r>
                          <w:rPr>
                            <w:rStyle w:val="Hyperlink"/>
                            <w:i/>
                            <w:color w:val="006890"/>
                            <w:lang w:val="en-US"/>
                          </w:rPr>
                          <w:t>www.sbp-cert.org</w:t>
                        </w:r>
                      </w:hyperlink>
                    </w:p>
                    <w:p w:rsidR="005415D2" w:rsidRDefault="005415D2" w14:paraId="108FDDCB" w14:textId="77777777">
                      <w:pPr>
                        <w:rPr>
                          <w:i/>
                          <w:lang w:val="en-US"/>
                        </w:rPr>
                      </w:pPr>
                    </w:p>
                    <w:p w:rsidRPr="00AF3063" w:rsidR="005415D2" w:rsidRDefault="00083003" w14:paraId="7A3C5E41" w14:textId="77777777">
                      <w:pPr>
                        <w:rPr>
                          <w:rFonts w:cs="Arial"/>
                          <w:i/>
                          <w:lang w:val="en-US"/>
                        </w:rPr>
                      </w:pPr>
                      <w:r w:rsidRPr="00AF3063">
                        <w:rPr>
                          <w:rFonts w:cs="Arial"/>
                          <w:i/>
                          <w:lang w:val="en-US"/>
                        </w:rPr>
                        <w:t>Document history</w:t>
                      </w:r>
                    </w:p>
                    <w:p w:rsidRPr="00AF3063" w:rsidR="005415D2" w:rsidRDefault="00083003" w14:paraId="78F8D593" w14:textId="77777777">
                      <w:pPr>
                        <w:rPr>
                          <w:rFonts w:cs="Arial"/>
                          <w:i/>
                          <w:lang w:val="en-US"/>
                        </w:rPr>
                      </w:pPr>
                      <w:r w:rsidRPr="00AF3063">
                        <w:rPr>
                          <w:rFonts w:cs="Arial"/>
                          <w:i/>
                          <w:lang w:val="en-US"/>
                        </w:rPr>
                        <w:t xml:space="preserve">Version 1.0: published 26 March </w:t>
                      </w:r>
                      <w:proofErr w:type="gramStart"/>
                      <w:r w:rsidRPr="00AF3063">
                        <w:rPr>
                          <w:rFonts w:cs="Arial"/>
                          <w:i/>
                          <w:lang w:val="en-US"/>
                        </w:rPr>
                        <w:t>2015</w:t>
                      </w:r>
                      <w:proofErr w:type="gramEnd"/>
                    </w:p>
                    <w:p w:rsidRPr="00AF3063" w:rsidR="005415D2" w:rsidRDefault="00083003" w14:paraId="7D26733E" w14:textId="77777777">
                      <w:pPr>
                        <w:rPr>
                          <w:rFonts w:cs="Arial"/>
                          <w:i/>
                          <w:lang w:val="en-US"/>
                        </w:rPr>
                      </w:pPr>
                      <w:r w:rsidRPr="00AF3063">
                        <w:rPr>
                          <w:rFonts w:cs="Arial"/>
                          <w:i/>
                          <w:lang w:val="en-US"/>
                        </w:rPr>
                        <w:t xml:space="preserve">Version 1.1 published 22 February </w:t>
                      </w:r>
                      <w:proofErr w:type="gramStart"/>
                      <w:r w:rsidRPr="00AF3063">
                        <w:rPr>
                          <w:rFonts w:cs="Arial"/>
                          <w:i/>
                          <w:lang w:val="en-US"/>
                        </w:rPr>
                        <w:t>2016</w:t>
                      </w:r>
                      <w:proofErr w:type="gramEnd"/>
                    </w:p>
                    <w:p w:rsidRPr="00AF3063" w:rsidR="005415D2" w:rsidRDefault="00083003" w14:paraId="472001B1" w14:textId="77777777">
                      <w:pPr>
                        <w:rPr>
                          <w:rFonts w:cs="Arial"/>
                          <w:i/>
                          <w:lang w:val="en-US"/>
                        </w:rPr>
                      </w:pPr>
                      <w:r w:rsidRPr="00AF3063">
                        <w:rPr>
                          <w:rFonts w:cs="Arial"/>
                          <w:i/>
                          <w:lang w:val="en-US"/>
                        </w:rPr>
                        <w:t xml:space="preserve">Version 1.2 published 23 June </w:t>
                      </w:r>
                      <w:proofErr w:type="gramStart"/>
                      <w:r w:rsidRPr="00AF3063">
                        <w:rPr>
                          <w:rFonts w:cs="Arial"/>
                          <w:i/>
                          <w:lang w:val="en-US"/>
                        </w:rPr>
                        <w:t>2016</w:t>
                      </w:r>
                      <w:proofErr w:type="gramEnd"/>
                    </w:p>
                    <w:p w:rsidRPr="00AF3063" w:rsidR="005415D2" w:rsidRDefault="00083003" w14:paraId="31EDB9FE" w14:textId="77777777">
                      <w:pPr>
                        <w:rPr>
                          <w:rFonts w:cs="Arial"/>
                          <w:i/>
                          <w:lang w:val="en-US"/>
                        </w:rPr>
                      </w:pPr>
                      <w:r w:rsidRPr="00AF3063">
                        <w:rPr>
                          <w:rFonts w:cs="Arial"/>
                          <w:i/>
                          <w:lang w:val="en-US"/>
                        </w:rPr>
                        <w:t xml:space="preserve">Version 1.3 published 14 January 2019; re-published 3 April </w:t>
                      </w:r>
                      <w:proofErr w:type="gramStart"/>
                      <w:r w:rsidRPr="00AF3063">
                        <w:rPr>
                          <w:rFonts w:cs="Arial"/>
                          <w:i/>
                          <w:lang w:val="en-US"/>
                        </w:rPr>
                        <w:t>2020</w:t>
                      </w:r>
                      <w:proofErr w:type="gramEnd"/>
                    </w:p>
                    <w:p w:rsidRPr="00AF3063" w:rsidR="005415D2" w:rsidRDefault="00083003" w14:paraId="0805252F" w14:textId="77777777">
                      <w:pPr>
                        <w:rPr>
                          <w:rFonts w:cs="Arial"/>
                          <w:i/>
                          <w:lang w:val="en-US"/>
                        </w:rPr>
                      </w:pPr>
                      <w:r w:rsidRPr="00AF3063">
                        <w:rPr>
                          <w:rFonts w:cs="Arial"/>
                          <w:i/>
                          <w:lang w:val="en-US"/>
                        </w:rPr>
                        <w:t xml:space="preserve">Version 1.4 published 22 October </w:t>
                      </w:r>
                      <w:proofErr w:type="gramStart"/>
                      <w:r w:rsidRPr="00AF3063">
                        <w:rPr>
                          <w:rFonts w:cs="Arial"/>
                          <w:i/>
                          <w:lang w:val="en-US"/>
                        </w:rPr>
                        <w:t>2020</w:t>
                      </w:r>
                      <w:proofErr w:type="gramEnd"/>
                    </w:p>
                    <w:p w:rsidR="005415D2" w:rsidRDefault="005415D2" w14:paraId="487042BB" w14:textId="77777777">
                      <w:pPr>
                        <w:rPr>
                          <w:i/>
                          <w:lang w:val="en-US"/>
                        </w:rPr>
                      </w:pPr>
                    </w:p>
                    <w:p w:rsidR="005415D2" w:rsidRDefault="005415D2" w14:paraId="15BCE4CA" w14:textId="77777777">
                      <w:pPr>
                        <w:rPr>
                          <w:i/>
                          <w:lang w:val="en-US"/>
                        </w:rPr>
                      </w:pPr>
                    </w:p>
                    <w:p w:rsidRPr="00AF3063" w:rsidR="005415D2" w:rsidRDefault="00083003" w14:paraId="0AA1DF98" w14:textId="77777777">
                      <w:pPr>
                        <w:rPr>
                          <w:rFonts w:cs="Arial"/>
                          <w:iCs/>
                          <w:lang w:val="en-US"/>
                        </w:rPr>
                      </w:pPr>
                      <w:r w:rsidRPr="00AF3063">
                        <w:rPr>
                          <w:rFonts w:cs="Arial"/>
                          <w:iCs/>
                          <w:lang w:val="en-US"/>
                        </w:rPr>
                        <w:t>© Copyright Sustainable Biomass Program Limited 2020</w:t>
                      </w:r>
                    </w:p>
                    <w:p w:rsidR="005415D2" w:rsidRDefault="005415D2" w14:paraId="7F0B8542" w14:textId="77777777">
                      <w:pPr>
                        <w:rPr>
                          <w:i/>
                          <w:lang w:val="en-US"/>
                        </w:rPr>
                      </w:pPr>
                    </w:p>
                  </w:txbxContent>
                </v:textbox>
                <w10:wrap anchorx="page" anchory="page"/>
              </v:shape>
            </w:pict>
          </mc:Fallback>
        </mc:AlternateContent>
      </w:r>
      <w:r>
        <w:rPr>
          <w:rFonts w:ascii="Times New Roman" w:hAnsi="Times New Roman" w:cs="Times New Roman"/>
          <w:sz w:val="24"/>
          <w:szCs w:val="24"/>
          <w:lang w:eastAsia="nl-NL"/>
        </w:rPr>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rFonts w:ascii="Arial" w:hAnsi="Arial"/>
        </w:rPr>
      </w:sdtEndPr>
      <w:sdtContent>
        <w:p w14:paraId="21F89332" w14:textId="77777777" w:rsidR="005415D2" w:rsidRPr="00AF3063" w:rsidRDefault="00083003">
          <w:pPr>
            <w:pStyle w:val="TOCHeading"/>
            <w:rPr>
              <w:rFonts w:ascii="Montserrat ExtraBold" w:hAnsi="Montserrat ExtraBold"/>
              <w:color w:val="006890"/>
              <w:sz w:val="36"/>
              <w:szCs w:val="36"/>
            </w:rPr>
          </w:pPr>
          <w:r w:rsidRPr="00AF3063">
            <w:rPr>
              <w:rFonts w:ascii="Montserrat ExtraBold" w:hAnsi="Montserrat ExtraBold"/>
              <w:color w:val="006890"/>
              <w:sz w:val="36"/>
              <w:szCs w:val="36"/>
            </w:rPr>
            <w:t>Contents</w:t>
          </w:r>
        </w:p>
        <w:p w14:paraId="1ED4DAAD" w14:textId="7F0B4745" w:rsidR="007A2025" w:rsidRDefault="00083003">
          <w:pPr>
            <w:pStyle w:val="TOC1"/>
            <w:rPr>
              <w:rFonts w:asciiTheme="minorHAnsi" w:eastAsiaTheme="minorEastAsia" w:hAnsiTheme="minorHAnsi"/>
              <w:b w:val="0"/>
              <w:sz w:val="22"/>
              <w:szCs w:val="22"/>
              <w:lang w:val="nl-NL" w:eastAsia="nl-NL"/>
            </w:rPr>
          </w:pPr>
          <w:r>
            <w:rPr>
              <w:b w:val="0"/>
            </w:rPr>
            <w:fldChar w:fldCharType="begin"/>
          </w:r>
          <w:r>
            <w:rPr>
              <w:b w:val="0"/>
            </w:rPr>
            <w:instrText xml:space="preserve"> TOC \o "1-3" \n \h \z \u </w:instrText>
          </w:r>
          <w:r>
            <w:rPr>
              <w:b w:val="0"/>
            </w:rPr>
            <w:fldChar w:fldCharType="separate"/>
          </w:r>
          <w:hyperlink w:anchor="_Toc63846072" w:history="1">
            <w:r w:rsidR="007A2025" w:rsidRPr="001C5450">
              <w:rPr>
                <w:rStyle w:val="Hyperlink"/>
              </w:rPr>
              <w:t>1</w:t>
            </w:r>
            <w:r w:rsidR="007A2025">
              <w:rPr>
                <w:rFonts w:asciiTheme="minorHAnsi" w:eastAsiaTheme="minorEastAsia" w:hAnsiTheme="minorHAnsi"/>
                <w:b w:val="0"/>
                <w:sz w:val="22"/>
                <w:szCs w:val="22"/>
                <w:lang w:val="nl-NL" w:eastAsia="nl-NL"/>
              </w:rPr>
              <w:tab/>
            </w:r>
            <w:r w:rsidR="007A2025" w:rsidRPr="001C5450">
              <w:rPr>
                <w:rStyle w:val="Hyperlink"/>
              </w:rPr>
              <w:t>Overview</w:t>
            </w:r>
          </w:hyperlink>
        </w:p>
        <w:p w14:paraId="66D5EF8B" w14:textId="73E45847" w:rsidR="007A2025" w:rsidRDefault="00131D2D">
          <w:pPr>
            <w:pStyle w:val="TOC1"/>
            <w:rPr>
              <w:rFonts w:asciiTheme="minorHAnsi" w:eastAsiaTheme="minorEastAsia" w:hAnsiTheme="minorHAnsi"/>
              <w:b w:val="0"/>
              <w:sz w:val="22"/>
              <w:szCs w:val="22"/>
              <w:lang w:val="nl-NL" w:eastAsia="nl-NL"/>
            </w:rPr>
          </w:pPr>
          <w:hyperlink w:anchor="_Toc63846073" w:history="1">
            <w:r w:rsidR="007A2025" w:rsidRPr="001C5450">
              <w:rPr>
                <w:rStyle w:val="Hyperlink"/>
              </w:rPr>
              <w:t>2</w:t>
            </w:r>
            <w:r w:rsidR="007A2025">
              <w:rPr>
                <w:rFonts w:asciiTheme="minorHAnsi" w:eastAsiaTheme="minorEastAsia" w:hAnsiTheme="minorHAnsi"/>
                <w:b w:val="0"/>
                <w:sz w:val="22"/>
                <w:szCs w:val="22"/>
                <w:lang w:val="nl-NL" w:eastAsia="nl-NL"/>
              </w:rPr>
              <w:tab/>
            </w:r>
            <w:r w:rsidR="007A2025" w:rsidRPr="001C5450">
              <w:rPr>
                <w:rStyle w:val="Hyperlink"/>
              </w:rPr>
              <w:t>Description of the Supply Base</w:t>
            </w:r>
          </w:hyperlink>
        </w:p>
        <w:p w14:paraId="38539963" w14:textId="30421720" w:rsidR="007A2025" w:rsidRDefault="00131D2D">
          <w:pPr>
            <w:pStyle w:val="TOC2"/>
            <w:rPr>
              <w:rFonts w:asciiTheme="minorHAnsi" w:eastAsiaTheme="minorEastAsia" w:hAnsiTheme="minorHAnsi"/>
              <w:sz w:val="22"/>
              <w:szCs w:val="22"/>
              <w:lang w:val="nl-NL" w:eastAsia="nl-NL"/>
            </w:rPr>
          </w:pPr>
          <w:hyperlink w:anchor="_Toc63846074" w:history="1">
            <w:r w:rsidR="007A2025" w:rsidRPr="001C5450">
              <w:rPr>
                <w:rStyle w:val="Hyperlink"/>
              </w:rPr>
              <w:t>2.1</w:t>
            </w:r>
            <w:r w:rsidR="007A2025">
              <w:rPr>
                <w:rFonts w:asciiTheme="minorHAnsi" w:eastAsiaTheme="minorEastAsia" w:hAnsiTheme="minorHAnsi"/>
                <w:sz w:val="22"/>
                <w:szCs w:val="22"/>
                <w:lang w:val="nl-NL" w:eastAsia="nl-NL"/>
              </w:rPr>
              <w:tab/>
            </w:r>
            <w:r w:rsidR="007A2025" w:rsidRPr="001C5450">
              <w:rPr>
                <w:rStyle w:val="Hyperlink"/>
              </w:rPr>
              <w:t>General description</w:t>
            </w:r>
          </w:hyperlink>
        </w:p>
        <w:p w14:paraId="7A304866" w14:textId="66A289E0" w:rsidR="007A2025" w:rsidRDefault="00131D2D">
          <w:pPr>
            <w:pStyle w:val="TOC2"/>
            <w:rPr>
              <w:rFonts w:asciiTheme="minorHAnsi" w:eastAsiaTheme="minorEastAsia" w:hAnsiTheme="minorHAnsi"/>
              <w:sz w:val="22"/>
              <w:szCs w:val="22"/>
              <w:lang w:val="nl-NL" w:eastAsia="nl-NL"/>
            </w:rPr>
          </w:pPr>
          <w:hyperlink w:anchor="_Toc63846075" w:history="1">
            <w:r w:rsidR="007A2025" w:rsidRPr="001C5450">
              <w:rPr>
                <w:rStyle w:val="Hyperlink"/>
              </w:rPr>
              <w:t>2.2</w:t>
            </w:r>
            <w:r w:rsidR="007A2025">
              <w:rPr>
                <w:rFonts w:asciiTheme="minorHAnsi" w:eastAsiaTheme="minorEastAsia" w:hAnsiTheme="minorHAnsi"/>
                <w:sz w:val="22"/>
                <w:szCs w:val="22"/>
                <w:lang w:val="nl-NL" w:eastAsia="nl-NL"/>
              </w:rPr>
              <w:tab/>
            </w:r>
            <w:r w:rsidR="007A2025" w:rsidRPr="001C5450">
              <w:rPr>
                <w:rStyle w:val="Hyperlink"/>
              </w:rPr>
              <w:t>Description of countries included in the Supply Base</w:t>
            </w:r>
          </w:hyperlink>
        </w:p>
        <w:p w14:paraId="29565E4D" w14:textId="2D3CE122" w:rsidR="007A2025" w:rsidRDefault="00131D2D">
          <w:pPr>
            <w:pStyle w:val="TOC2"/>
            <w:rPr>
              <w:rFonts w:asciiTheme="minorHAnsi" w:eastAsiaTheme="minorEastAsia" w:hAnsiTheme="minorHAnsi"/>
              <w:sz w:val="22"/>
              <w:szCs w:val="22"/>
              <w:lang w:val="nl-NL" w:eastAsia="nl-NL"/>
            </w:rPr>
          </w:pPr>
          <w:hyperlink w:anchor="_Toc63846076" w:history="1">
            <w:r w:rsidR="007A2025" w:rsidRPr="001C5450">
              <w:rPr>
                <w:rStyle w:val="Hyperlink"/>
              </w:rPr>
              <w:t>2.3</w:t>
            </w:r>
            <w:r w:rsidR="007A2025">
              <w:rPr>
                <w:rFonts w:asciiTheme="minorHAnsi" w:eastAsiaTheme="minorEastAsia" w:hAnsiTheme="minorHAnsi"/>
                <w:sz w:val="22"/>
                <w:szCs w:val="22"/>
                <w:lang w:val="nl-NL" w:eastAsia="nl-NL"/>
              </w:rPr>
              <w:tab/>
            </w:r>
            <w:r w:rsidR="007A2025" w:rsidRPr="001C5450">
              <w:rPr>
                <w:rStyle w:val="Hyperlink"/>
              </w:rPr>
              <w:t>Actions taken to promote certification amongst feedstock supplier</w:t>
            </w:r>
          </w:hyperlink>
        </w:p>
        <w:p w14:paraId="716C8384" w14:textId="6E581486" w:rsidR="007A2025" w:rsidRDefault="00131D2D">
          <w:pPr>
            <w:pStyle w:val="TOC2"/>
            <w:rPr>
              <w:rFonts w:asciiTheme="minorHAnsi" w:eastAsiaTheme="minorEastAsia" w:hAnsiTheme="minorHAnsi"/>
              <w:sz w:val="22"/>
              <w:szCs w:val="22"/>
              <w:lang w:val="nl-NL" w:eastAsia="nl-NL"/>
            </w:rPr>
          </w:pPr>
          <w:hyperlink w:anchor="_Toc63846077" w:history="1">
            <w:r w:rsidR="007A2025" w:rsidRPr="001C5450">
              <w:rPr>
                <w:rStyle w:val="Hyperlink"/>
              </w:rPr>
              <w:t>2.4</w:t>
            </w:r>
            <w:r w:rsidR="007A2025">
              <w:rPr>
                <w:rFonts w:asciiTheme="minorHAnsi" w:eastAsiaTheme="minorEastAsia" w:hAnsiTheme="minorHAnsi"/>
                <w:sz w:val="22"/>
                <w:szCs w:val="22"/>
                <w:lang w:val="nl-NL" w:eastAsia="nl-NL"/>
              </w:rPr>
              <w:tab/>
            </w:r>
            <w:r w:rsidR="007A2025" w:rsidRPr="001C5450">
              <w:rPr>
                <w:rStyle w:val="Hyperlink"/>
              </w:rPr>
              <w:t>Quantification of the Supply Base</w:t>
            </w:r>
          </w:hyperlink>
        </w:p>
        <w:p w14:paraId="6AFE4D18" w14:textId="74E8A9EA" w:rsidR="007A2025" w:rsidRDefault="00131D2D">
          <w:pPr>
            <w:pStyle w:val="TOC1"/>
            <w:rPr>
              <w:rFonts w:asciiTheme="minorHAnsi" w:eastAsiaTheme="minorEastAsia" w:hAnsiTheme="minorHAnsi"/>
              <w:b w:val="0"/>
              <w:sz w:val="22"/>
              <w:szCs w:val="22"/>
              <w:lang w:val="nl-NL" w:eastAsia="nl-NL"/>
            </w:rPr>
          </w:pPr>
          <w:hyperlink w:anchor="_Toc63846078" w:history="1">
            <w:r w:rsidR="007A2025" w:rsidRPr="001C5450">
              <w:rPr>
                <w:rStyle w:val="Hyperlink"/>
              </w:rPr>
              <w:t>3</w:t>
            </w:r>
            <w:r w:rsidR="007A2025">
              <w:rPr>
                <w:rFonts w:asciiTheme="minorHAnsi" w:eastAsiaTheme="minorEastAsia" w:hAnsiTheme="minorHAnsi"/>
                <w:b w:val="0"/>
                <w:sz w:val="22"/>
                <w:szCs w:val="22"/>
                <w:lang w:val="nl-NL" w:eastAsia="nl-NL"/>
              </w:rPr>
              <w:tab/>
            </w:r>
            <w:r w:rsidR="007A2025" w:rsidRPr="001C5450">
              <w:rPr>
                <w:rStyle w:val="Hyperlink"/>
              </w:rPr>
              <w:t>Requirement for a Supply Base Evaluation</w:t>
            </w:r>
          </w:hyperlink>
        </w:p>
        <w:p w14:paraId="38E09285" w14:textId="43DEEED0" w:rsidR="007A2025" w:rsidRDefault="00131D2D">
          <w:pPr>
            <w:pStyle w:val="TOC1"/>
            <w:rPr>
              <w:rFonts w:asciiTheme="minorHAnsi" w:eastAsiaTheme="minorEastAsia" w:hAnsiTheme="minorHAnsi"/>
              <w:b w:val="0"/>
              <w:sz w:val="22"/>
              <w:szCs w:val="22"/>
              <w:lang w:val="nl-NL" w:eastAsia="nl-NL"/>
            </w:rPr>
          </w:pPr>
          <w:hyperlink w:anchor="_Toc63846079" w:history="1">
            <w:r w:rsidR="007A2025" w:rsidRPr="001C5450">
              <w:rPr>
                <w:rStyle w:val="Hyperlink"/>
              </w:rPr>
              <w:t>4</w:t>
            </w:r>
            <w:r w:rsidR="007A2025">
              <w:rPr>
                <w:rFonts w:asciiTheme="minorHAnsi" w:eastAsiaTheme="minorEastAsia" w:hAnsiTheme="minorHAnsi"/>
                <w:b w:val="0"/>
                <w:sz w:val="22"/>
                <w:szCs w:val="22"/>
                <w:lang w:val="nl-NL" w:eastAsia="nl-NL"/>
              </w:rPr>
              <w:tab/>
            </w:r>
            <w:r w:rsidR="007A2025" w:rsidRPr="001C5450">
              <w:rPr>
                <w:rStyle w:val="Hyperlink"/>
              </w:rPr>
              <w:t>Supply Base Evaluation</w:t>
            </w:r>
          </w:hyperlink>
        </w:p>
        <w:p w14:paraId="1A61DB73" w14:textId="7191B2E0" w:rsidR="007A2025" w:rsidRDefault="00131D2D">
          <w:pPr>
            <w:pStyle w:val="TOC2"/>
            <w:rPr>
              <w:rFonts w:asciiTheme="minorHAnsi" w:eastAsiaTheme="minorEastAsia" w:hAnsiTheme="minorHAnsi"/>
              <w:sz w:val="22"/>
              <w:szCs w:val="22"/>
              <w:lang w:val="nl-NL" w:eastAsia="nl-NL"/>
            </w:rPr>
          </w:pPr>
          <w:hyperlink w:anchor="_Toc63846080" w:history="1">
            <w:r w:rsidR="007A2025" w:rsidRPr="001C5450">
              <w:rPr>
                <w:rStyle w:val="Hyperlink"/>
              </w:rPr>
              <w:t>4.1</w:t>
            </w:r>
            <w:r w:rsidR="007A2025">
              <w:rPr>
                <w:rFonts w:asciiTheme="minorHAnsi" w:eastAsiaTheme="minorEastAsia" w:hAnsiTheme="minorHAnsi"/>
                <w:sz w:val="22"/>
                <w:szCs w:val="22"/>
                <w:lang w:val="nl-NL" w:eastAsia="nl-NL"/>
              </w:rPr>
              <w:tab/>
            </w:r>
            <w:r w:rsidR="007A2025" w:rsidRPr="001C5450">
              <w:rPr>
                <w:rStyle w:val="Hyperlink"/>
              </w:rPr>
              <w:t>Scope</w:t>
            </w:r>
          </w:hyperlink>
        </w:p>
        <w:p w14:paraId="372C8A2B" w14:textId="6DB8D611" w:rsidR="007A2025" w:rsidRDefault="00131D2D">
          <w:pPr>
            <w:pStyle w:val="TOC2"/>
            <w:rPr>
              <w:rFonts w:asciiTheme="minorHAnsi" w:eastAsiaTheme="minorEastAsia" w:hAnsiTheme="minorHAnsi"/>
              <w:sz w:val="22"/>
              <w:szCs w:val="22"/>
              <w:lang w:val="nl-NL" w:eastAsia="nl-NL"/>
            </w:rPr>
          </w:pPr>
          <w:hyperlink w:anchor="_Toc63846081" w:history="1">
            <w:r w:rsidR="007A2025" w:rsidRPr="001C5450">
              <w:rPr>
                <w:rStyle w:val="Hyperlink"/>
              </w:rPr>
              <w:t>4.2</w:t>
            </w:r>
            <w:r w:rsidR="007A2025">
              <w:rPr>
                <w:rFonts w:asciiTheme="minorHAnsi" w:eastAsiaTheme="minorEastAsia" w:hAnsiTheme="minorHAnsi"/>
                <w:sz w:val="22"/>
                <w:szCs w:val="22"/>
                <w:lang w:val="nl-NL" w:eastAsia="nl-NL"/>
              </w:rPr>
              <w:tab/>
            </w:r>
            <w:r w:rsidR="007A2025" w:rsidRPr="001C5450">
              <w:rPr>
                <w:rStyle w:val="Hyperlink"/>
              </w:rPr>
              <w:t>Justification</w:t>
            </w:r>
          </w:hyperlink>
        </w:p>
        <w:p w14:paraId="42BD60B9" w14:textId="00CA697A" w:rsidR="007A2025" w:rsidRDefault="00131D2D">
          <w:pPr>
            <w:pStyle w:val="TOC2"/>
            <w:rPr>
              <w:rFonts w:asciiTheme="minorHAnsi" w:eastAsiaTheme="minorEastAsia" w:hAnsiTheme="minorHAnsi"/>
              <w:sz w:val="22"/>
              <w:szCs w:val="22"/>
              <w:lang w:val="nl-NL" w:eastAsia="nl-NL"/>
            </w:rPr>
          </w:pPr>
          <w:hyperlink w:anchor="_Toc63846082" w:history="1">
            <w:r w:rsidR="007A2025" w:rsidRPr="001C5450">
              <w:rPr>
                <w:rStyle w:val="Hyperlink"/>
              </w:rPr>
              <w:t>4.3</w:t>
            </w:r>
            <w:r w:rsidR="007A2025">
              <w:rPr>
                <w:rFonts w:asciiTheme="minorHAnsi" w:eastAsiaTheme="minorEastAsia" w:hAnsiTheme="minorHAnsi"/>
                <w:sz w:val="22"/>
                <w:szCs w:val="22"/>
                <w:lang w:val="nl-NL" w:eastAsia="nl-NL"/>
              </w:rPr>
              <w:tab/>
            </w:r>
            <w:r w:rsidR="007A2025" w:rsidRPr="001C5450">
              <w:rPr>
                <w:rStyle w:val="Hyperlink"/>
              </w:rPr>
              <w:t>Results of risk assessment and Supplier Verification Programme</w:t>
            </w:r>
          </w:hyperlink>
        </w:p>
        <w:p w14:paraId="76346F85" w14:textId="74D51BA2" w:rsidR="007A2025" w:rsidRDefault="00131D2D">
          <w:pPr>
            <w:pStyle w:val="TOC2"/>
            <w:rPr>
              <w:rFonts w:asciiTheme="minorHAnsi" w:eastAsiaTheme="minorEastAsia" w:hAnsiTheme="minorHAnsi"/>
              <w:sz w:val="22"/>
              <w:szCs w:val="22"/>
              <w:lang w:val="nl-NL" w:eastAsia="nl-NL"/>
            </w:rPr>
          </w:pPr>
          <w:hyperlink w:anchor="_Toc63846083" w:history="1">
            <w:r w:rsidR="007A2025" w:rsidRPr="001C5450">
              <w:rPr>
                <w:rStyle w:val="Hyperlink"/>
              </w:rPr>
              <w:t>4.4</w:t>
            </w:r>
            <w:r w:rsidR="007A2025">
              <w:rPr>
                <w:rFonts w:asciiTheme="minorHAnsi" w:eastAsiaTheme="minorEastAsia" w:hAnsiTheme="minorHAnsi"/>
                <w:sz w:val="22"/>
                <w:szCs w:val="22"/>
                <w:lang w:val="nl-NL" w:eastAsia="nl-NL"/>
              </w:rPr>
              <w:tab/>
            </w:r>
            <w:r w:rsidR="007A2025" w:rsidRPr="001C5450">
              <w:rPr>
                <w:rStyle w:val="Hyperlink"/>
              </w:rPr>
              <w:t>Conclusion</w:t>
            </w:r>
          </w:hyperlink>
        </w:p>
        <w:p w14:paraId="54A74B1C" w14:textId="32A78864" w:rsidR="007A2025" w:rsidRDefault="00131D2D">
          <w:pPr>
            <w:pStyle w:val="TOC1"/>
            <w:rPr>
              <w:rFonts w:asciiTheme="minorHAnsi" w:eastAsiaTheme="minorEastAsia" w:hAnsiTheme="minorHAnsi"/>
              <w:b w:val="0"/>
              <w:sz w:val="22"/>
              <w:szCs w:val="22"/>
              <w:lang w:val="nl-NL" w:eastAsia="nl-NL"/>
            </w:rPr>
          </w:pPr>
          <w:hyperlink w:anchor="_Toc63846084" w:history="1">
            <w:r w:rsidR="007A2025" w:rsidRPr="001C5450">
              <w:rPr>
                <w:rStyle w:val="Hyperlink"/>
              </w:rPr>
              <w:t>5</w:t>
            </w:r>
            <w:r w:rsidR="007A2025">
              <w:rPr>
                <w:rFonts w:asciiTheme="minorHAnsi" w:eastAsiaTheme="minorEastAsia" w:hAnsiTheme="minorHAnsi"/>
                <w:b w:val="0"/>
                <w:sz w:val="22"/>
                <w:szCs w:val="22"/>
                <w:lang w:val="nl-NL" w:eastAsia="nl-NL"/>
              </w:rPr>
              <w:tab/>
            </w:r>
            <w:r w:rsidR="007A2025" w:rsidRPr="001C5450">
              <w:rPr>
                <w:rStyle w:val="Hyperlink"/>
              </w:rPr>
              <w:t>Supply Base Evaluation process</w:t>
            </w:r>
          </w:hyperlink>
        </w:p>
        <w:p w14:paraId="30F94C83" w14:textId="7F569249" w:rsidR="007A2025" w:rsidRDefault="00131D2D">
          <w:pPr>
            <w:pStyle w:val="TOC1"/>
            <w:rPr>
              <w:rFonts w:asciiTheme="minorHAnsi" w:eastAsiaTheme="minorEastAsia" w:hAnsiTheme="minorHAnsi"/>
              <w:b w:val="0"/>
              <w:sz w:val="22"/>
              <w:szCs w:val="22"/>
              <w:lang w:val="nl-NL" w:eastAsia="nl-NL"/>
            </w:rPr>
          </w:pPr>
          <w:hyperlink w:anchor="_Toc63846085" w:history="1">
            <w:r w:rsidR="007A2025" w:rsidRPr="001C5450">
              <w:rPr>
                <w:rStyle w:val="Hyperlink"/>
              </w:rPr>
              <w:t>6</w:t>
            </w:r>
            <w:r w:rsidR="007A2025">
              <w:rPr>
                <w:rFonts w:asciiTheme="minorHAnsi" w:eastAsiaTheme="minorEastAsia" w:hAnsiTheme="minorHAnsi"/>
                <w:b w:val="0"/>
                <w:sz w:val="22"/>
                <w:szCs w:val="22"/>
                <w:lang w:val="nl-NL" w:eastAsia="nl-NL"/>
              </w:rPr>
              <w:tab/>
            </w:r>
            <w:r w:rsidR="007A2025" w:rsidRPr="001C5450">
              <w:rPr>
                <w:rStyle w:val="Hyperlink"/>
              </w:rPr>
              <w:t>Stakeholder consultation</w:t>
            </w:r>
          </w:hyperlink>
        </w:p>
        <w:p w14:paraId="66F9012C" w14:textId="5379BA2A" w:rsidR="007A2025" w:rsidRDefault="00131D2D">
          <w:pPr>
            <w:pStyle w:val="TOC2"/>
            <w:rPr>
              <w:rFonts w:asciiTheme="minorHAnsi" w:eastAsiaTheme="minorEastAsia" w:hAnsiTheme="minorHAnsi"/>
              <w:sz w:val="22"/>
              <w:szCs w:val="22"/>
              <w:lang w:val="nl-NL" w:eastAsia="nl-NL"/>
            </w:rPr>
          </w:pPr>
          <w:hyperlink w:anchor="_Toc63846086" w:history="1">
            <w:r w:rsidR="007A2025" w:rsidRPr="001C5450">
              <w:rPr>
                <w:rStyle w:val="Hyperlink"/>
              </w:rPr>
              <w:t>6.1</w:t>
            </w:r>
            <w:r w:rsidR="007A2025">
              <w:rPr>
                <w:rFonts w:asciiTheme="minorHAnsi" w:eastAsiaTheme="minorEastAsia" w:hAnsiTheme="minorHAnsi"/>
                <w:sz w:val="22"/>
                <w:szCs w:val="22"/>
                <w:lang w:val="nl-NL" w:eastAsia="nl-NL"/>
              </w:rPr>
              <w:tab/>
            </w:r>
            <w:r w:rsidR="007A2025" w:rsidRPr="001C5450">
              <w:rPr>
                <w:rStyle w:val="Hyperlink"/>
              </w:rPr>
              <w:t>Response to stakeholder comments</w:t>
            </w:r>
          </w:hyperlink>
        </w:p>
        <w:p w14:paraId="79AEEF0A" w14:textId="75DE3D78" w:rsidR="007A2025" w:rsidRDefault="00131D2D">
          <w:pPr>
            <w:pStyle w:val="TOC1"/>
            <w:rPr>
              <w:rFonts w:asciiTheme="minorHAnsi" w:eastAsiaTheme="minorEastAsia" w:hAnsiTheme="minorHAnsi"/>
              <w:b w:val="0"/>
              <w:sz w:val="22"/>
              <w:szCs w:val="22"/>
              <w:lang w:val="nl-NL" w:eastAsia="nl-NL"/>
            </w:rPr>
          </w:pPr>
          <w:hyperlink w:anchor="_Toc63846087" w:history="1">
            <w:r w:rsidR="007A2025" w:rsidRPr="001C5450">
              <w:rPr>
                <w:rStyle w:val="Hyperlink"/>
              </w:rPr>
              <w:t>7</w:t>
            </w:r>
            <w:r w:rsidR="007A2025">
              <w:rPr>
                <w:rFonts w:asciiTheme="minorHAnsi" w:eastAsiaTheme="minorEastAsia" w:hAnsiTheme="minorHAnsi"/>
                <w:b w:val="0"/>
                <w:sz w:val="22"/>
                <w:szCs w:val="22"/>
                <w:lang w:val="nl-NL" w:eastAsia="nl-NL"/>
              </w:rPr>
              <w:tab/>
            </w:r>
            <w:r w:rsidR="007A2025" w:rsidRPr="001C5450">
              <w:rPr>
                <w:rStyle w:val="Hyperlink"/>
              </w:rPr>
              <w:t>Mitigation measures</w:t>
            </w:r>
          </w:hyperlink>
        </w:p>
        <w:p w14:paraId="47154EB7" w14:textId="2E864B42" w:rsidR="007A2025" w:rsidRDefault="00131D2D">
          <w:pPr>
            <w:pStyle w:val="TOC2"/>
            <w:rPr>
              <w:rFonts w:asciiTheme="minorHAnsi" w:eastAsiaTheme="minorEastAsia" w:hAnsiTheme="minorHAnsi"/>
              <w:sz w:val="22"/>
              <w:szCs w:val="22"/>
              <w:lang w:val="nl-NL" w:eastAsia="nl-NL"/>
            </w:rPr>
          </w:pPr>
          <w:hyperlink w:anchor="_Toc63846088" w:history="1">
            <w:r w:rsidR="007A2025" w:rsidRPr="001C5450">
              <w:rPr>
                <w:rStyle w:val="Hyperlink"/>
              </w:rPr>
              <w:t>7.1</w:t>
            </w:r>
            <w:r w:rsidR="007A2025">
              <w:rPr>
                <w:rFonts w:asciiTheme="minorHAnsi" w:eastAsiaTheme="minorEastAsia" w:hAnsiTheme="minorHAnsi"/>
                <w:sz w:val="22"/>
                <w:szCs w:val="22"/>
                <w:lang w:val="nl-NL" w:eastAsia="nl-NL"/>
              </w:rPr>
              <w:tab/>
            </w:r>
            <w:r w:rsidR="007A2025" w:rsidRPr="001C5450">
              <w:rPr>
                <w:rStyle w:val="Hyperlink"/>
              </w:rPr>
              <w:t>Mitigation measures</w:t>
            </w:r>
          </w:hyperlink>
        </w:p>
        <w:p w14:paraId="17799488" w14:textId="702DBF0F" w:rsidR="007A2025" w:rsidRDefault="00131D2D">
          <w:pPr>
            <w:pStyle w:val="TOC2"/>
            <w:rPr>
              <w:rFonts w:asciiTheme="minorHAnsi" w:eastAsiaTheme="minorEastAsia" w:hAnsiTheme="minorHAnsi"/>
              <w:sz w:val="22"/>
              <w:szCs w:val="22"/>
              <w:lang w:val="nl-NL" w:eastAsia="nl-NL"/>
            </w:rPr>
          </w:pPr>
          <w:hyperlink w:anchor="_Toc63846089" w:history="1">
            <w:r w:rsidR="007A2025" w:rsidRPr="001C5450">
              <w:rPr>
                <w:rStyle w:val="Hyperlink"/>
              </w:rPr>
              <w:t>7.2</w:t>
            </w:r>
            <w:r w:rsidR="007A2025">
              <w:rPr>
                <w:rFonts w:asciiTheme="minorHAnsi" w:eastAsiaTheme="minorEastAsia" w:hAnsiTheme="minorHAnsi"/>
                <w:sz w:val="22"/>
                <w:szCs w:val="22"/>
                <w:lang w:val="nl-NL" w:eastAsia="nl-NL"/>
              </w:rPr>
              <w:tab/>
            </w:r>
            <w:r w:rsidR="007A2025" w:rsidRPr="001C5450">
              <w:rPr>
                <w:rStyle w:val="Hyperlink"/>
              </w:rPr>
              <w:t>Monitoring and outcomes</w:t>
            </w:r>
          </w:hyperlink>
        </w:p>
        <w:p w14:paraId="2E43D4EA" w14:textId="0A995937" w:rsidR="007A2025" w:rsidRDefault="00131D2D">
          <w:pPr>
            <w:pStyle w:val="TOC1"/>
            <w:rPr>
              <w:rFonts w:asciiTheme="minorHAnsi" w:eastAsiaTheme="minorEastAsia" w:hAnsiTheme="minorHAnsi"/>
              <w:b w:val="0"/>
              <w:sz w:val="22"/>
              <w:szCs w:val="22"/>
              <w:lang w:val="nl-NL" w:eastAsia="nl-NL"/>
            </w:rPr>
          </w:pPr>
          <w:hyperlink w:anchor="_Toc63846090" w:history="1">
            <w:r w:rsidR="007A2025" w:rsidRPr="001C5450">
              <w:rPr>
                <w:rStyle w:val="Hyperlink"/>
              </w:rPr>
              <w:t>8</w:t>
            </w:r>
            <w:r w:rsidR="007A2025">
              <w:rPr>
                <w:rFonts w:asciiTheme="minorHAnsi" w:eastAsiaTheme="minorEastAsia" w:hAnsiTheme="minorHAnsi"/>
                <w:b w:val="0"/>
                <w:sz w:val="22"/>
                <w:szCs w:val="22"/>
                <w:lang w:val="nl-NL" w:eastAsia="nl-NL"/>
              </w:rPr>
              <w:tab/>
            </w:r>
            <w:r w:rsidR="007A2025" w:rsidRPr="001C5450">
              <w:rPr>
                <w:rStyle w:val="Hyperlink"/>
              </w:rPr>
              <w:t>Detailed findings for indicators</w:t>
            </w:r>
          </w:hyperlink>
        </w:p>
        <w:p w14:paraId="7B4BCEA0" w14:textId="7FE34DEB" w:rsidR="007A2025" w:rsidRDefault="00131D2D">
          <w:pPr>
            <w:pStyle w:val="TOC1"/>
            <w:rPr>
              <w:rFonts w:asciiTheme="minorHAnsi" w:eastAsiaTheme="minorEastAsia" w:hAnsiTheme="minorHAnsi"/>
              <w:b w:val="0"/>
              <w:sz w:val="22"/>
              <w:szCs w:val="22"/>
              <w:lang w:val="nl-NL" w:eastAsia="nl-NL"/>
            </w:rPr>
          </w:pPr>
          <w:hyperlink w:anchor="_Toc63846091" w:history="1">
            <w:r w:rsidR="007A2025" w:rsidRPr="001C5450">
              <w:rPr>
                <w:rStyle w:val="Hyperlink"/>
              </w:rPr>
              <w:t>9</w:t>
            </w:r>
            <w:r w:rsidR="007A2025">
              <w:rPr>
                <w:rFonts w:asciiTheme="minorHAnsi" w:eastAsiaTheme="minorEastAsia" w:hAnsiTheme="minorHAnsi"/>
                <w:b w:val="0"/>
                <w:sz w:val="22"/>
                <w:szCs w:val="22"/>
                <w:lang w:val="nl-NL" w:eastAsia="nl-NL"/>
              </w:rPr>
              <w:tab/>
            </w:r>
            <w:r w:rsidR="007A2025" w:rsidRPr="001C5450">
              <w:rPr>
                <w:rStyle w:val="Hyperlink"/>
              </w:rPr>
              <w:t>Review of report</w:t>
            </w:r>
          </w:hyperlink>
        </w:p>
        <w:p w14:paraId="2642C41E" w14:textId="512C9D0C" w:rsidR="007A2025" w:rsidRDefault="00131D2D">
          <w:pPr>
            <w:pStyle w:val="TOC2"/>
            <w:rPr>
              <w:rFonts w:asciiTheme="minorHAnsi" w:eastAsiaTheme="minorEastAsia" w:hAnsiTheme="minorHAnsi"/>
              <w:sz w:val="22"/>
              <w:szCs w:val="22"/>
              <w:lang w:val="nl-NL" w:eastAsia="nl-NL"/>
            </w:rPr>
          </w:pPr>
          <w:hyperlink w:anchor="_Toc63846092" w:history="1">
            <w:r w:rsidR="007A2025" w:rsidRPr="001C5450">
              <w:rPr>
                <w:rStyle w:val="Hyperlink"/>
              </w:rPr>
              <w:t>9.1</w:t>
            </w:r>
            <w:r w:rsidR="007A2025">
              <w:rPr>
                <w:rFonts w:asciiTheme="minorHAnsi" w:eastAsiaTheme="minorEastAsia" w:hAnsiTheme="minorHAnsi"/>
                <w:sz w:val="22"/>
                <w:szCs w:val="22"/>
                <w:lang w:val="nl-NL" w:eastAsia="nl-NL"/>
              </w:rPr>
              <w:tab/>
            </w:r>
            <w:r w:rsidR="007A2025" w:rsidRPr="001C5450">
              <w:rPr>
                <w:rStyle w:val="Hyperlink"/>
              </w:rPr>
              <w:t>Peer review</w:t>
            </w:r>
          </w:hyperlink>
        </w:p>
        <w:p w14:paraId="6A6A6D44" w14:textId="6AF82954" w:rsidR="007A2025" w:rsidRDefault="00131D2D">
          <w:pPr>
            <w:pStyle w:val="TOC2"/>
            <w:rPr>
              <w:rFonts w:asciiTheme="minorHAnsi" w:eastAsiaTheme="minorEastAsia" w:hAnsiTheme="minorHAnsi"/>
              <w:sz w:val="22"/>
              <w:szCs w:val="22"/>
              <w:lang w:val="nl-NL" w:eastAsia="nl-NL"/>
            </w:rPr>
          </w:pPr>
          <w:hyperlink w:anchor="_Toc63846093" w:history="1">
            <w:r w:rsidR="007A2025" w:rsidRPr="001C5450">
              <w:rPr>
                <w:rStyle w:val="Hyperlink"/>
              </w:rPr>
              <w:t>9.2</w:t>
            </w:r>
            <w:r w:rsidR="007A2025">
              <w:rPr>
                <w:rFonts w:asciiTheme="minorHAnsi" w:eastAsiaTheme="minorEastAsia" w:hAnsiTheme="minorHAnsi"/>
                <w:sz w:val="22"/>
                <w:szCs w:val="22"/>
                <w:lang w:val="nl-NL" w:eastAsia="nl-NL"/>
              </w:rPr>
              <w:tab/>
            </w:r>
            <w:r w:rsidR="007A2025" w:rsidRPr="001C5450">
              <w:rPr>
                <w:rStyle w:val="Hyperlink"/>
              </w:rPr>
              <w:t>Public or additional reviews</w:t>
            </w:r>
          </w:hyperlink>
        </w:p>
        <w:p w14:paraId="0FEEB6A7" w14:textId="04A22F66" w:rsidR="007A2025" w:rsidRDefault="00131D2D">
          <w:pPr>
            <w:pStyle w:val="TOC1"/>
            <w:rPr>
              <w:rFonts w:asciiTheme="minorHAnsi" w:eastAsiaTheme="minorEastAsia" w:hAnsiTheme="minorHAnsi"/>
              <w:b w:val="0"/>
              <w:sz w:val="22"/>
              <w:szCs w:val="22"/>
              <w:lang w:val="nl-NL" w:eastAsia="nl-NL"/>
            </w:rPr>
          </w:pPr>
          <w:hyperlink w:anchor="_Toc63846094" w:history="1">
            <w:r w:rsidR="007A2025" w:rsidRPr="001C5450">
              <w:rPr>
                <w:rStyle w:val="Hyperlink"/>
              </w:rPr>
              <w:t>10</w:t>
            </w:r>
            <w:r w:rsidR="007A2025">
              <w:rPr>
                <w:rFonts w:asciiTheme="minorHAnsi" w:eastAsiaTheme="minorEastAsia" w:hAnsiTheme="minorHAnsi"/>
                <w:b w:val="0"/>
                <w:sz w:val="22"/>
                <w:szCs w:val="22"/>
                <w:lang w:val="nl-NL" w:eastAsia="nl-NL"/>
              </w:rPr>
              <w:tab/>
            </w:r>
            <w:r w:rsidR="007A2025" w:rsidRPr="001C5450">
              <w:rPr>
                <w:rStyle w:val="Hyperlink"/>
              </w:rPr>
              <w:t>Approval of report</w:t>
            </w:r>
          </w:hyperlink>
        </w:p>
        <w:p w14:paraId="53E1DC30" w14:textId="0B285851" w:rsidR="007A2025" w:rsidRDefault="00131D2D">
          <w:pPr>
            <w:pStyle w:val="TOC1"/>
            <w:rPr>
              <w:rFonts w:asciiTheme="minorHAnsi" w:eastAsiaTheme="minorEastAsia" w:hAnsiTheme="minorHAnsi"/>
              <w:b w:val="0"/>
              <w:sz w:val="22"/>
              <w:szCs w:val="22"/>
              <w:lang w:val="nl-NL" w:eastAsia="nl-NL"/>
            </w:rPr>
          </w:pPr>
          <w:hyperlink w:anchor="_Toc63846095" w:history="1">
            <w:r w:rsidR="007A2025" w:rsidRPr="001C5450">
              <w:rPr>
                <w:rStyle w:val="Hyperlink"/>
              </w:rPr>
              <w:t>Annex 1: Detailed findings for Supply Base Evaluation indicators</w:t>
            </w:r>
          </w:hyperlink>
        </w:p>
        <w:p w14:paraId="25242605" w14:textId="1AC90E22" w:rsidR="005415D2" w:rsidRDefault="00083003">
          <w:r>
            <w:rPr>
              <w:b/>
              <w:noProof/>
            </w:rPr>
            <w:fldChar w:fldCharType="end"/>
          </w:r>
        </w:p>
      </w:sdtContent>
    </w:sdt>
    <w:p w14:paraId="76D34BA1" w14:textId="77777777" w:rsidR="005415D2" w:rsidRDefault="00083003" w:rsidP="00AF3063">
      <w:pPr>
        <w:pStyle w:val="Heading1"/>
      </w:pPr>
      <w:bookmarkStart w:id="0" w:name="_Toc63846072"/>
      <w:r>
        <w:lastRenderedPageBreak/>
        <w:t>Overview</w:t>
      </w:r>
      <w:bookmarkEnd w:id="0"/>
    </w:p>
    <w:p w14:paraId="23095A13" w14:textId="77777777" w:rsidR="005415D2" w:rsidRDefault="005415D2">
      <w:pPr>
        <w:rPr>
          <w:i/>
        </w:rPr>
      </w:pPr>
    </w:p>
    <w:p w14:paraId="38D144AC" w14:textId="55E9F429" w:rsidR="005415D2" w:rsidRPr="00AF3063" w:rsidRDefault="00083003">
      <w:pPr>
        <w:rPr>
          <w:rFonts w:cs="Arial"/>
        </w:rPr>
      </w:pPr>
      <w:r w:rsidRPr="00AF3063">
        <w:rPr>
          <w:rFonts w:cs="Arial"/>
          <w:b/>
          <w:bCs/>
        </w:rPr>
        <w:t>Producer name:</w:t>
      </w:r>
      <w:r w:rsidRPr="00AF3063">
        <w:rPr>
          <w:rFonts w:cs="Arial"/>
        </w:rPr>
        <w:t xml:space="preserve"> </w:t>
      </w:r>
      <w:r w:rsidRPr="00AF3063">
        <w:rPr>
          <w:rFonts w:cs="Arial"/>
        </w:rPr>
        <w:tab/>
      </w:r>
      <w:r w:rsidRPr="00AF3063">
        <w:rPr>
          <w:rFonts w:cs="Arial"/>
        </w:rPr>
        <w:tab/>
      </w:r>
      <w:r w:rsidR="005B5CFF">
        <w:rPr>
          <w:rFonts w:cs="Arial"/>
        </w:rPr>
        <w:tab/>
      </w:r>
      <w:proofErr w:type="spellStart"/>
      <w:r w:rsidRPr="00AF3063">
        <w:rPr>
          <w:rFonts w:cs="Arial"/>
        </w:rPr>
        <w:t>Pusbroliai</w:t>
      </w:r>
      <w:proofErr w:type="spellEnd"/>
      <w:r w:rsidRPr="00AF3063">
        <w:rPr>
          <w:rFonts w:cs="Arial"/>
        </w:rPr>
        <w:t xml:space="preserve"> UAB</w:t>
      </w:r>
    </w:p>
    <w:p w14:paraId="4F44560C" w14:textId="6D64FA79" w:rsidR="005415D2" w:rsidRPr="00AF3063" w:rsidRDefault="00083003">
      <w:pPr>
        <w:rPr>
          <w:rFonts w:cs="Arial"/>
        </w:rPr>
      </w:pPr>
      <w:r w:rsidRPr="00AF3063">
        <w:rPr>
          <w:rFonts w:cs="Arial"/>
          <w:b/>
          <w:bCs/>
        </w:rPr>
        <w:t>Producer address:</w:t>
      </w:r>
      <w:r w:rsidRPr="00AF3063">
        <w:rPr>
          <w:rFonts w:cs="Arial"/>
        </w:rPr>
        <w:tab/>
      </w:r>
      <w:r w:rsidRPr="00AF3063">
        <w:rPr>
          <w:rFonts w:cs="Arial"/>
        </w:rPr>
        <w:tab/>
      </w:r>
      <w:r w:rsidR="005B5CFF">
        <w:rPr>
          <w:rFonts w:cs="Arial"/>
        </w:rPr>
        <w:tab/>
      </w:r>
      <w:proofErr w:type="spellStart"/>
      <w:r w:rsidRPr="00AF3063">
        <w:rPr>
          <w:rFonts w:cs="Arial"/>
        </w:rPr>
        <w:t>Šilutės</w:t>
      </w:r>
      <w:proofErr w:type="spellEnd"/>
      <w:r w:rsidRPr="00AF3063">
        <w:rPr>
          <w:rFonts w:cs="Arial"/>
        </w:rPr>
        <w:t xml:space="preserve"> pl. 2, LT-91111 </w:t>
      </w:r>
      <w:proofErr w:type="spellStart"/>
      <w:r w:rsidRPr="00AF3063">
        <w:rPr>
          <w:rFonts w:cs="Arial"/>
        </w:rPr>
        <w:t>Klaipėda</w:t>
      </w:r>
      <w:proofErr w:type="spellEnd"/>
      <w:r w:rsidRPr="00AF3063">
        <w:rPr>
          <w:rFonts w:cs="Arial"/>
        </w:rPr>
        <w:t>, Lithuania</w:t>
      </w:r>
    </w:p>
    <w:p w14:paraId="0BA5E2DA" w14:textId="63A288BF" w:rsidR="005415D2" w:rsidRPr="00AF3063" w:rsidRDefault="00083003">
      <w:pPr>
        <w:rPr>
          <w:rFonts w:cs="Arial"/>
        </w:rPr>
      </w:pPr>
      <w:r w:rsidRPr="00AF3063">
        <w:rPr>
          <w:rFonts w:cs="Arial"/>
          <w:b/>
          <w:bCs/>
        </w:rPr>
        <w:t>SBP Certificate Code:</w:t>
      </w:r>
      <w:r w:rsidRPr="00AF3063">
        <w:rPr>
          <w:rFonts w:cs="Arial"/>
        </w:rPr>
        <w:tab/>
      </w:r>
      <w:r w:rsidRPr="00AF3063">
        <w:rPr>
          <w:rFonts w:cs="Arial"/>
        </w:rPr>
        <w:tab/>
      </w:r>
      <w:r w:rsidR="005B5CFF">
        <w:rPr>
          <w:rFonts w:cs="Arial"/>
        </w:rPr>
        <w:tab/>
      </w:r>
      <w:r w:rsidRPr="00AF3063">
        <w:rPr>
          <w:rFonts w:cs="Arial"/>
        </w:rPr>
        <w:t>SBP-07-39</w:t>
      </w:r>
    </w:p>
    <w:p w14:paraId="75FC8C86" w14:textId="0B489AA5" w:rsidR="005415D2" w:rsidRPr="00AF3063" w:rsidRDefault="00083003">
      <w:pPr>
        <w:rPr>
          <w:rFonts w:cs="Arial"/>
        </w:rPr>
      </w:pPr>
      <w:r w:rsidRPr="00AF3063">
        <w:rPr>
          <w:rFonts w:cs="Arial"/>
          <w:b/>
          <w:bCs/>
        </w:rPr>
        <w:t>Geographic position:</w:t>
      </w:r>
      <w:r w:rsidRPr="00AF3063">
        <w:rPr>
          <w:rFonts w:cs="Arial"/>
        </w:rPr>
        <w:tab/>
      </w:r>
      <w:r w:rsidRPr="00AF3063">
        <w:rPr>
          <w:rFonts w:cs="Arial"/>
        </w:rPr>
        <w:tab/>
      </w:r>
      <w:r w:rsidR="005B5CFF">
        <w:rPr>
          <w:rFonts w:cs="Arial"/>
        </w:rPr>
        <w:tab/>
      </w:r>
      <w:r w:rsidRPr="00AF3063">
        <w:rPr>
          <w:rFonts w:cs="Arial"/>
        </w:rPr>
        <w:t>55.703993, 21.163770</w:t>
      </w:r>
    </w:p>
    <w:p w14:paraId="74A7EDE2" w14:textId="07216E81" w:rsidR="005415D2" w:rsidRPr="00AF3063" w:rsidRDefault="00083003">
      <w:pPr>
        <w:ind w:left="3600" w:hanging="3600"/>
        <w:rPr>
          <w:rFonts w:cs="Arial"/>
        </w:rPr>
      </w:pPr>
      <w:r w:rsidRPr="00AF3063">
        <w:rPr>
          <w:rFonts w:cs="Arial"/>
          <w:b/>
          <w:bCs/>
        </w:rPr>
        <w:t>Primary contact:</w:t>
      </w:r>
      <w:r w:rsidR="005B5CFF">
        <w:rPr>
          <w:rFonts w:cs="Arial"/>
          <w:b/>
          <w:bCs/>
        </w:rPr>
        <w:tab/>
      </w:r>
      <w:r w:rsidRPr="00AF3063">
        <w:rPr>
          <w:rFonts w:cs="Arial"/>
        </w:rPr>
        <w:t xml:space="preserve">Rūta Gaber, </w:t>
      </w:r>
      <w:r w:rsidR="005B5CFF">
        <w:rPr>
          <w:rFonts w:cs="Arial"/>
        </w:rPr>
        <w:t xml:space="preserve">+370 655 </w:t>
      </w:r>
      <w:proofErr w:type="gramStart"/>
      <w:r w:rsidR="005B5CFF">
        <w:rPr>
          <w:rFonts w:cs="Arial"/>
        </w:rPr>
        <w:t>13365,</w:t>
      </w:r>
      <w:r w:rsidRPr="00AF3063">
        <w:rPr>
          <w:rFonts w:cs="Arial"/>
        </w:rPr>
        <w:t>ruta@pusbroliai.eu</w:t>
      </w:r>
      <w:proofErr w:type="gramEnd"/>
    </w:p>
    <w:p w14:paraId="695DE505" w14:textId="28990D67" w:rsidR="005415D2" w:rsidRPr="00AF3063" w:rsidRDefault="00083003">
      <w:pPr>
        <w:rPr>
          <w:rFonts w:cs="Arial"/>
        </w:rPr>
      </w:pPr>
      <w:r w:rsidRPr="00AF3063">
        <w:rPr>
          <w:rFonts w:cs="Arial"/>
          <w:b/>
          <w:bCs/>
        </w:rPr>
        <w:t>Company website:</w:t>
      </w:r>
      <w:r w:rsidRPr="00AF3063">
        <w:rPr>
          <w:rFonts w:cs="Arial"/>
        </w:rPr>
        <w:tab/>
      </w:r>
      <w:r w:rsidRPr="00AF3063">
        <w:rPr>
          <w:rFonts w:cs="Arial"/>
        </w:rPr>
        <w:tab/>
      </w:r>
      <w:r w:rsidR="005B5CFF">
        <w:rPr>
          <w:rFonts w:cs="Arial"/>
        </w:rPr>
        <w:tab/>
      </w:r>
      <w:r w:rsidRPr="00AF3063">
        <w:rPr>
          <w:rFonts w:cs="Arial"/>
        </w:rPr>
        <w:t>http://www.pusbroliai.eu/</w:t>
      </w:r>
    </w:p>
    <w:p w14:paraId="5227DCA3" w14:textId="12A3E749" w:rsidR="005415D2" w:rsidRPr="00AF3063" w:rsidRDefault="00083003">
      <w:pPr>
        <w:rPr>
          <w:rFonts w:cs="Arial"/>
          <w:b/>
          <w:i/>
          <w:lang w:val="en-US"/>
        </w:rPr>
      </w:pPr>
      <w:r w:rsidRPr="00AF3063">
        <w:rPr>
          <w:rFonts w:cs="Arial"/>
          <w:b/>
          <w:bCs/>
        </w:rPr>
        <w:t>Date report finalised:</w:t>
      </w:r>
      <w:r w:rsidRPr="00AF3063">
        <w:rPr>
          <w:rFonts w:cs="Arial"/>
        </w:rPr>
        <w:tab/>
      </w:r>
      <w:r w:rsidRPr="00AF3063">
        <w:rPr>
          <w:rFonts w:cs="Arial"/>
        </w:rPr>
        <w:tab/>
      </w:r>
      <w:r w:rsidR="005B5CFF">
        <w:rPr>
          <w:rFonts w:cs="Arial"/>
        </w:rPr>
        <w:tab/>
      </w:r>
      <w:r w:rsidRPr="00AF3063">
        <w:rPr>
          <w:rFonts w:cs="Arial"/>
        </w:rPr>
        <w:t>N/A</w:t>
      </w:r>
    </w:p>
    <w:p w14:paraId="5E4841AA" w14:textId="77777777" w:rsidR="005415D2" w:rsidRPr="00AF3063" w:rsidRDefault="00083003">
      <w:pPr>
        <w:rPr>
          <w:rFonts w:cs="Arial"/>
          <w:color w:val="000000" w:themeColor="text1"/>
        </w:rPr>
      </w:pPr>
      <w:r w:rsidRPr="00AF3063">
        <w:rPr>
          <w:rFonts w:cs="Arial"/>
          <w:b/>
          <w:bCs/>
        </w:rPr>
        <w:t>Close of last CB audit:</w:t>
      </w:r>
      <w:r w:rsidRPr="00AF3063">
        <w:rPr>
          <w:rFonts w:cs="Arial"/>
        </w:rPr>
        <w:tab/>
      </w:r>
      <w:r w:rsidRPr="00AF3063">
        <w:rPr>
          <w:rFonts w:cs="Arial"/>
        </w:rPr>
        <w:tab/>
      </w:r>
      <w:r w:rsidRPr="00AF3063">
        <w:rPr>
          <w:rFonts w:cs="Arial"/>
        </w:rPr>
        <w:tab/>
      </w:r>
      <w:r w:rsidRPr="00AF3063">
        <w:rPr>
          <w:rFonts w:cs="Arial"/>
          <w:color w:val="000000" w:themeColor="text1"/>
        </w:rPr>
        <w:t>N/A</w:t>
      </w:r>
    </w:p>
    <w:p w14:paraId="150BF88B" w14:textId="77777777" w:rsidR="005415D2" w:rsidRPr="00AF3063" w:rsidRDefault="00083003">
      <w:pPr>
        <w:rPr>
          <w:rFonts w:cs="Arial"/>
        </w:rPr>
      </w:pPr>
      <w:r w:rsidRPr="00AF3063">
        <w:rPr>
          <w:rFonts w:cs="Arial"/>
          <w:b/>
          <w:bCs/>
        </w:rPr>
        <w:t>Name of CB:</w:t>
      </w:r>
      <w:r w:rsidRPr="00AF3063">
        <w:rPr>
          <w:rFonts w:cs="Arial"/>
        </w:rPr>
        <w:tab/>
      </w:r>
      <w:r w:rsidRPr="00AF3063">
        <w:rPr>
          <w:rFonts w:cs="Arial"/>
        </w:rPr>
        <w:tab/>
      </w:r>
      <w:r w:rsidRPr="00AF3063">
        <w:rPr>
          <w:rFonts w:cs="Arial"/>
        </w:rPr>
        <w:tab/>
      </w:r>
      <w:r w:rsidRPr="00AF3063">
        <w:rPr>
          <w:rFonts w:cs="Arial"/>
        </w:rPr>
        <w:tab/>
      </w:r>
      <w:proofErr w:type="spellStart"/>
      <w:r w:rsidRPr="00AF3063">
        <w:rPr>
          <w:rFonts w:cs="Arial"/>
          <w:color w:val="000000" w:themeColor="text1"/>
        </w:rPr>
        <w:t>NEPCon</w:t>
      </w:r>
      <w:proofErr w:type="spellEnd"/>
      <w:r w:rsidRPr="00AF3063">
        <w:rPr>
          <w:rFonts w:cs="Arial"/>
          <w:color w:val="000000" w:themeColor="text1"/>
        </w:rPr>
        <w:t xml:space="preserve"> OÜ</w:t>
      </w:r>
    </w:p>
    <w:p w14:paraId="074AA18D" w14:textId="4AC8CFE0" w:rsidR="005415D2" w:rsidRPr="00AF3063" w:rsidRDefault="00083003">
      <w:pPr>
        <w:rPr>
          <w:rFonts w:cs="Arial"/>
          <w:lang w:val="en-US"/>
        </w:rPr>
      </w:pPr>
      <w:r w:rsidRPr="00AF3063">
        <w:rPr>
          <w:rFonts w:cs="Arial"/>
          <w:b/>
          <w:bCs/>
        </w:rPr>
        <w:t>SBP Standard(s) used:</w:t>
      </w:r>
      <w:r w:rsidRPr="00AF3063">
        <w:rPr>
          <w:rFonts w:cs="Arial"/>
        </w:rPr>
        <w:tab/>
      </w:r>
      <w:r w:rsidRPr="00AF3063">
        <w:rPr>
          <w:rFonts w:cs="Arial"/>
        </w:rPr>
        <w:tab/>
        <w:t>SBP Standard 1: Feedstock Compliance Standard, SBP Standard 5: Collection and Communication of Data Instruction</w:t>
      </w:r>
    </w:p>
    <w:p w14:paraId="55244269" w14:textId="77777777" w:rsidR="005415D2" w:rsidRPr="00AF3063" w:rsidRDefault="00083003">
      <w:pPr>
        <w:rPr>
          <w:rFonts w:cs="Arial"/>
          <w:color w:val="006691"/>
        </w:rPr>
      </w:pPr>
      <w:r w:rsidRPr="00AF3063">
        <w:rPr>
          <w:rFonts w:cs="Arial"/>
          <w:b/>
          <w:bCs/>
        </w:rPr>
        <w:t>Weblink to Standard(s) used:</w:t>
      </w:r>
      <w:r w:rsidRPr="00AF3063">
        <w:rPr>
          <w:rFonts w:cs="Arial"/>
        </w:rPr>
        <w:tab/>
      </w:r>
      <w:r w:rsidRPr="00AF3063">
        <w:rPr>
          <w:rFonts w:cs="Arial"/>
        </w:rPr>
        <w:tab/>
      </w:r>
      <w:hyperlink r:id="rId9" w:history="1">
        <w:r w:rsidRPr="002C2A0D">
          <w:rPr>
            <w:rStyle w:val="Hyperlink"/>
            <w:rFonts w:cs="Arial"/>
            <w:color w:val="00A8B0"/>
          </w:rPr>
          <w:t>https://sbp-cert.org/documents/standards-documents/standards</w:t>
        </w:r>
      </w:hyperlink>
    </w:p>
    <w:p w14:paraId="6B14AC14" w14:textId="71D34BDC" w:rsidR="005415D2" w:rsidRPr="00AF3063" w:rsidRDefault="00083003">
      <w:pPr>
        <w:rPr>
          <w:rFonts w:cs="Arial"/>
          <w:lang w:val="en-IN"/>
        </w:rPr>
      </w:pPr>
      <w:r w:rsidRPr="00AF3063">
        <w:rPr>
          <w:rFonts w:cs="Arial"/>
          <w:b/>
          <w:bCs/>
        </w:rPr>
        <w:t>SBP Endorsed Regional Risk Assessment</w:t>
      </w:r>
      <w:r w:rsidRPr="00AF3063">
        <w:rPr>
          <w:rFonts w:cs="Arial"/>
        </w:rPr>
        <w:t>: Lithuania, Latvia</w:t>
      </w:r>
    </w:p>
    <w:p w14:paraId="131A77B9" w14:textId="77777777" w:rsidR="005415D2" w:rsidRPr="00AF3063" w:rsidRDefault="00083003">
      <w:pPr>
        <w:rPr>
          <w:rFonts w:cs="Arial"/>
        </w:rPr>
      </w:pPr>
      <w:r w:rsidRPr="00AF3063">
        <w:rPr>
          <w:rFonts w:cs="Arial"/>
          <w:b/>
          <w:bCs/>
        </w:rPr>
        <w:t>Weblink to SBR on Company website:</w:t>
      </w:r>
      <w:r w:rsidRPr="00AF3063">
        <w:rPr>
          <w:rFonts w:cs="Arial"/>
        </w:rPr>
        <w:t xml:space="preserve"> N/A</w:t>
      </w:r>
    </w:p>
    <w:p w14:paraId="796FC2CE" w14:textId="77777777" w:rsidR="005415D2" w:rsidRDefault="005415D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1617"/>
        <w:gridCol w:w="1617"/>
        <w:gridCol w:w="1617"/>
        <w:gridCol w:w="1618"/>
        <w:gridCol w:w="1600"/>
      </w:tblGrid>
      <w:tr w:rsidR="005415D2" w14:paraId="136E24B3" w14:textId="77777777">
        <w:trPr>
          <w:trHeight w:val="647"/>
        </w:trPr>
        <w:tc>
          <w:tcPr>
            <w:tcW w:w="9429" w:type="dxa"/>
            <w:gridSpan w:val="6"/>
            <w:tcBorders>
              <w:top w:val="single" w:sz="4" w:space="0" w:color="auto"/>
              <w:left w:val="single" w:sz="4" w:space="0" w:color="auto"/>
              <w:bottom w:val="single" w:sz="4" w:space="0" w:color="auto"/>
              <w:right w:val="single" w:sz="4" w:space="0" w:color="auto"/>
            </w:tcBorders>
            <w:shd w:val="clear" w:color="auto" w:fill="006691"/>
            <w:vAlign w:val="center"/>
            <w:hideMark/>
          </w:tcPr>
          <w:p w14:paraId="4F91476E" w14:textId="77777777" w:rsidR="005415D2" w:rsidRPr="00AF3063" w:rsidRDefault="00083003">
            <w:pPr>
              <w:spacing w:before="120" w:after="0" w:line="240" w:lineRule="auto"/>
              <w:jc w:val="center"/>
              <w:rPr>
                <w:rFonts w:cs="Arial"/>
                <w:b/>
                <w:color w:val="FFFFFF" w:themeColor="background1"/>
                <w:lang w:val="en-US"/>
              </w:rPr>
            </w:pPr>
            <w:bookmarkStart w:id="1" w:name="_Hlk52442056"/>
            <w:r w:rsidRPr="00AF3063">
              <w:rPr>
                <w:rFonts w:cs="Arial"/>
                <w:b/>
                <w:color w:val="FFFFFF" w:themeColor="background1"/>
                <w:lang w:val="en-US"/>
              </w:rPr>
              <w:t>Indicate how the current evaluation fits within the cycle of Supply Base Evaluations</w:t>
            </w:r>
          </w:p>
        </w:tc>
        <w:bookmarkEnd w:id="1"/>
      </w:tr>
      <w:tr w:rsidR="005415D2" w14:paraId="72537C8D" w14:textId="77777777">
        <w:trPr>
          <w:trHeight w:val="620"/>
        </w:trPr>
        <w:tc>
          <w:tcPr>
            <w:tcW w:w="1940"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0382A36C" w14:textId="77777777" w:rsidR="005415D2" w:rsidRPr="00AF3063" w:rsidRDefault="00083003">
            <w:pPr>
              <w:spacing w:before="120" w:after="0" w:line="240" w:lineRule="auto"/>
              <w:jc w:val="center"/>
              <w:rPr>
                <w:rFonts w:cs="Arial"/>
                <w:b/>
                <w:lang w:val="en-US"/>
              </w:rPr>
            </w:pPr>
            <w:r w:rsidRPr="00AF3063">
              <w:rPr>
                <w:rFonts w:cs="Arial"/>
                <w:b/>
                <w:lang w:val="en-US"/>
              </w:rPr>
              <w:t>Main (Initial)</w:t>
            </w:r>
          </w:p>
          <w:p w14:paraId="45C42925" w14:textId="77777777" w:rsidR="005415D2" w:rsidRPr="00AF3063" w:rsidRDefault="00083003">
            <w:pPr>
              <w:spacing w:after="120" w:line="240" w:lineRule="auto"/>
              <w:jc w:val="center"/>
              <w:rPr>
                <w:rFonts w:cs="Arial"/>
                <w:b/>
                <w:lang w:val="en-US"/>
              </w:rPr>
            </w:pPr>
            <w:r w:rsidRPr="00AF3063">
              <w:rPr>
                <w:rFonts w:cs="Arial"/>
                <w:b/>
                <w:lang w:val="en-US"/>
              </w:rPr>
              <w:t>Evaluation</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116B5227" w14:textId="77777777" w:rsidR="005415D2" w:rsidRPr="00AF3063" w:rsidRDefault="00083003">
            <w:pPr>
              <w:spacing w:before="120" w:after="0" w:line="240" w:lineRule="auto"/>
              <w:jc w:val="center"/>
              <w:rPr>
                <w:rFonts w:cs="Arial"/>
                <w:b/>
                <w:lang w:val="en-US"/>
              </w:rPr>
            </w:pPr>
            <w:r w:rsidRPr="00AF3063">
              <w:rPr>
                <w:rFonts w:cs="Arial"/>
                <w:b/>
                <w:lang w:val="en-US"/>
              </w:rPr>
              <w:t>First</w:t>
            </w:r>
          </w:p>
          <w:p w14:paraId="5D3B503F"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478275ED" w14:textId="77777777" w:rsidR="005415D2" w:rsidRPr="00AF3063" w:rsidRDefault="00083003">
            <w:pPr>
              <w:spacing w:before="120" w:after="120" w:line="240" w:lineRule="auto"/>
              <w:jc w:val="center"/>
              <w:rPr>
                <w:rFonts w:cs="Arial"/>
                <w:b/>
                <w:lang w:val="en-US"/>
              </w:rPr>
            </w:pPr>
            <w:r w:rsidRPr="00AF3063">
              <w:rPr>
                <w:rFonts w:cs="Arial"/>
                <w:b/>
                <w:lang w:val="en-US"/>
              </w:rPr>
              <w:t>Second 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2F2D44B" w14:textId="77777777" w:rsidR="005415D2" w:rsidRPr="00AF3063" w:rsidRDefault="00083003">
            <w:pPr>
              <w:spacing w:before="120" w:after="0" w:line="240" w:lineRule="auto"/>
              <w:jc w:val="center"/>
              <w:rPr>
                <w:rFonts w:cs="Arial"/>
                <w:b/>
                <w:lang w:val="en-US"/>
              </w:rPr>
            </w:pPr>
            <w:r w:rsidRPr="00AF3063">
              <w:rPr>
                <w:rFonts w:cs="Arial"/>
                <w:b/>
                <w:lang w:val="en-US"/>
              </w:rPr>
              <w:t>Third</w:t>
            </w:r>
          </w:p>
          <w:p w14:paraId="68C74139"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3F1E0AD6" w14:textId="77777777" w:rsidR="005415D2" w:rsidRPr="00AF3063" w:rsidRDefault="00083003">
            <w:pPr>
              <w:spacing w:before="120" w:after="0" w:line="240" w:lineRule="auto"/>
              <w:jc w:val="center"/>
              <w:rPr>
                <w:rFonts w:cs="Arial"/>
                <w:b/>
                <w:lang w:val="en-US"/>
              </w:rPr>
            </w:pPr>
            <w:r w:rsidRPr="00AF3063">
              <w:rPr>
                <w:rFonts w:cs="Arial"/>
                <w:b/>
                <w:lang w:val="en-US"/>
              </w:rPr>
              <w:t>Fourth</w:t>
            </w:r>
          </w:p>
          <w:p w14:paraId="7E92997E"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59176A3D" w14:textId="77777777" w:rsidR="005415D2" w:rsidRPr="00AF3063" w:rsidRDefault="00083003">
            <w:pPr>
              <w:spacing w:after="120" w:line="240" w:lineRule="auto"/>
              <w:jc w:val="center"/>
              <w:rPr>
                <w:rFonts w:cs="Arial"/>
                <w:b/>
                <w:lang w:val="en-US"/>
              </w:rPr>
            </w:pPr>
            <w:r w:rsidRPr="00AF3063">
              <w:rPr>
                <w:rFonts w:cs="Arial"/>
                <w:b/>
                <w:lang w:val="en-US"/>
              </w:rPr>
              <w:t>Re-assessment</w:t>
            </w:r>
          </w:p>
        </w:tc>
      </w:tr>
      <w:tr w:rsidR="005415D2" w14:paraId="09113B5A" w14:textId="77777777">
        <w:trPr>
          <w:trHeight w:val="710"/>
        </w:trPr>
        <w:tc>
          <w:tcPr>
            <w:tcW w:w="1940" w:type="dxa"/>
            <w:tcBorders>
              <w:top w:val="single" w:sz="4" w:space="0" w:color="auto"/>
              <w:left w:val="single" w:sz="4" w:space="0" w:color="auto"/>
              <w:bottom w:val="single" w:sz="4" w:space="0" w:color="auto"/>
              <w:right w:val="single" w:sz="4" w:space="0" w:color="auto"/>
            </w:tcBorders>
            <w:vAlign w:val="center"/>
            <w:hideMark/>
          </w:tcPr>
          <w:p w14:paraId="07DE17A0" w14:textId="77777777" w:rsidR="005415D2" w:rsidRPr="00AF3063" w:rsidRDefault="00083003">
            <w:pPr>
              <w:spacing w:before="120" w:after="120"/>
              <w:jc w:val="center"/>
              <w:rPr>
                <w:rFonts w:cs="Arial"/>
                <w:bCs/>
                <w:lang w:val="en-US"/>
              </w:rPr>
            </w:pPr>
            <w:r w:rsidRPr="00AF3063">
              <w:rPr>
                <w:rFonts w:cs="Arial"/>
                <w:bCs/>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E3D05E7" w14:textId="77777777" w:rsidR="005415D2" w:rsidRPr="00AF3063" w:rsidRDefault="00083003">
            <w:pPr>
              <w:spacing w:before="120" w:after="120"/>
              <w:jc w:val="center"/>
              <w:rPr>
                <w:rFonts w:cs="Arial"/>
                <w:b/>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36185246"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E191BDF"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44F2F0E"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CCCD4EB" w14:textId="77777777" w:rsidR="005415D2" w:rsidRPr="00AF3063" w:rsidRDefault="00083003">
            <w:pPr>
              <w:spacing w:before="120" w:after="120"/>
              <w:jc w:val="center"/>
              <w:rPr>
                <w:rFonts w:cs="Arial"/>
                <w:b/>
                <w:sz w:val="32"/>
                <w:szCs w:val="32"/>
                <w:lang w:val="en-US"/>
              </w:rPr>
            </w:pPr>
            <w:r w:rsidRPr="00AF3063">
              <w:rPr>
                <w:rFonts w:cs="Arial"/>
                <w:color w:val="000000"/>
              </w:rPr>
              <w:t>☐</w:t>
            </w:r>
          </w:p>
        </w:tc>
      </w:tr>
    </w:tbl>
    <w:p w14:paraId="751EA876" w14:textId="77777777" w:rsidR="005415D2" w:rsidRDefault="005415D2"/>
    <w:p w14:paraId="34319C9F" w14:textId="77777777" w:rsidR="005415D2" w:rsidRDefault="00083003" w:rsidP="00AF3063">
      <w:pPr>
        <w:pStyle w:val="Heading1"/>
      </w:pPr>
      <w:bookmarkStart w:id="2" w:name="_Toc63846073"/>
      <w:r>
        <w:lastRenderedPageBreak/>
        <w:t>Description of the Supply Base</w:t>
      </w:r>
      <w:bookmarkEnd w:id="2"/>
    </w:p>
    <w:p w14:paraId="6E524D03" w14:textId="77777777" w:rsidR="005415D2" w:rsidRPr="00AF3063" w:rsidRDefault="00083003" w:rsidP="000C27C4">
      <w:pPr>
        <w:pStyle w:val="Heading2"/>
      </w:pPr>
      <w:bookmarkStart w:id="3" w:name="_Toc63846074"/>
      <w:r w:rsidRPr="000C27C4">
        <w:t>General</w:t>
      </w:r>
      <w:r w:rsidRPr="00AF3063">
        <w:t xml:space="preserve"> description</w:t>
      </w:r>
      <w:bookmarkEnd w:id="3"/>
    </w:p>
    <w:p w14:paraId="66615058" w14:textId="77777777" w:rsidR="005415D2" w:rsidRDefault="00083003">
      <w:pPr>
        <w:rPr>
          <w:b/>
          <w:bCs/>
        </w:rPr>
      </w:pPr>
      <w:r>
        <w:rPr>
          <w:b/>
          <w:bCs/>
        </w:rPr>
        <w:t xml:space="preserve">Feedstock types: </w:t>
      </w:r>
      <w:r>
        <w:t>Primary, Secondary</w:t>
      </w:r>
    </w:p>
    <w:p w14:paraId="3E541B4F" w14:textId="77777777" w:rsidR="005415D2" w:rsidRDefault="00083003">
      <w:pPr>
        <w:rPr>
          <w:b/>
          <w:bCs/>
        </w:rPr>
      </w:pPr>
      <w:r>
        <w:rPr>
          <w:b/>
          <w:bCs/>
        </w:rPr>
        <w:t xml:space="preserve">Includes Supply Base evaluation (SBE): </w:t>
      </w:r>
      <w:r>
        <w:t>Yes</w:t>
      </w:r>
    </w:p>
    <w:p w14:paraId="3BA86949" w14:textId="77777777" w:rsidR="005415D2" w:rsidRDefault="00083003">
      <w:pPr>
        <w:rPr>
          <w:b/>
          <w:bCs/>
        </w:rPr>
      </w:pPr>
      <w:r>
        <w:rPr>
          <w:b/>
          <w:bCs/>
        </w:rPr>
        <w:t xml:space="preserve">Feedstock origin (countries): </w:t>
      </w:r>
      <w:r>
        <w:t>Lithuania, Latvia</w:t>
      </w:r>
    </w:p>
    <w:p w14:paraId="46DBE937" w14:textId="2883EDEF" w:rsidR="005415D2" w:rsidRDefault="00083003" w:rsidP="000C27C4">
      <w:pPr>
        <w:pStyle w:val="Heading2"/>
      </w:pPr>
      <w:bookmarkStart w:id="4" w:name="_Toc63846075"/>
      <w:r>
        <w:t>Description of countries included in the Supply Base</w:t>
      </w:r>
      <w:bookmarkEnd w:id="4"/>
    </w:p>
    <w:p w14:paraId="7D8EB8B2" w14:textId="77777777" w:rsidR="005415D2" w:rsidRPr="000C27C4" w:rsidRDefault="005415D2">
      <w:pPr>
        <w:spacing w:after="0" w:line="240" w:lineRule="auto"/>
        <w:rPr>
          <w:rFonts w:cs="Arial"/>
          <w:lang w:val="en-US" w:eastAsia="nl-NL"/>
        </w:rPr>
      </w:pPr>
    </w:p>
    <w:p w14:paraId="67507D12" w14:textId="77777777" w:rsidR="005415D2" w:rsidRDefault="005415D2">
      <w:pPr>
        <w:spacing w:after="0" w:line="240" w:lineRule="auto"/>
        <w:rPr>
          <w:rFonts w:cstheme="minorHAnsi"/>
          <w:lang w:val="en-US" w:eastAsia="nl-NL"/>
        </w:rPr>
      </w:pPr>
      <w:bookmarkStart w:id="5" w:name="_Toc412646197"/>
    </w:p>
    <w:p w14:paraId="15DB17D9" w14:textId="77777777" w:rsidR="005415D2" w:rsidRDefault="00083003">
      <w:pPr>
        <w:rPr>
          <w:color w:val="000000" w:themeColor="text1"/>
        </w:rPr>
      </w:pPr>
      <w:proofErr w:type="spellStart"/>
      <w:proofErr w:type="gramStart"/>
      <w:r>
        <w:rPr>
          <w:b/>
          <w:bCs/>
          <w:color w:val="000000" w:themeColor="text1"/>
        </w:rPr>
        <w:t>Country:</w:t>
      </w:r>
      <w:r>
        <w:rPr>
          <w:color w:val="000000" w:themeColor="text1"/>
        </w:rPr>
        <w:t>Lithuania</w:t>
      </w:r>
      <w:proofErr w:type="spellEnd"/>
      <w:proofErr w:type="gramEnd"/>
    </w:p>
    <w:p w14:paraId="112EA06C" w14:textId="77777777" w:rsidR="005415D2" w:rsidRDefault="00083003">
      <w:pPr>
        <w:rPr>
          <w:b/>
          <w:bCs/>
          <w:color w:val="000000" w:themeColor="text1"/>
        </w:rPr>
      </w:pPr>
      <w:r>
        <w:rPr>
          <w:b/>
          <w:bCs/>
          <w:color w:val="000000" w:themeColor="text1"/>
        </w:rPr>
        <w:t xml:space="preserve">Area/Region: </w:t>
      </w:r>
      <w:r>
        <w:rPr>
          <w:color w:val="000000" w:themeColor="text1"/>
        </w:rPr>
        <w:t>Lithuania</w:t>
      </w:r>
    </w:p>
    <w:p w14:paraId="44CD18BD" w14:textId="77777777" w:rsidR="005415D2" w:rsidRDefault="00083003">
      <w:pPr>
        <w:rPr>
          <w:b/>
          <w:bCs/>
          <w:color w:val="000000" w:themeColor="text1"/>
        </w:rPr>
      </w:pPr>
      <w:r>
        <w:rPr>
          <w:b/>
          <w:bCs/>
          <w:color w:val="000000" w:themeColor="text1"/>
        </w:rPr>
        <w:t xml:space="preserve">Exclusions: </w:t>
      </w:r>
      <w:r>
        <w:rPr>
          <w:color w:val="000000" w:themeColor="text1"/>
        </w:rPr>
        <w:t>No</w:t>
      </w:r>
    </w:p>
    <w:p w14:paraId="5FA7C0F8" w14:textId="77777777" w:rsidR="00000000" w:rsidRDefault="00131D2D" w:rsidP="00131D2D">
      <w:pPr>
        <w:spacing w:line="260" w:lineRule="atLeast"/>
        <w:jc w:val="both"/>
        <w:divId w:val="464548330"/>
        <w:rPr>
          <w:rFonts w:eastAsia="Times New Roman" w:cs="Arial"/>
          <w:spacing w:val="1"/>
        </w:rPr>
      </w:pPr>
      <w:r>
        <w:rPr>
          <w:rFonts w:eastAsia="Times New Roman" w:cs="Arial"/>
          <w:spacing w:val="1"/>
        </w:rPr>
        <w:t xml:space="preserve">The feedstock is sourced from Lithuanian suppliers including state forests and forests form owners, areas outside </w:t>
      </w:r>
      <w:r>
        <w:rPr>
          <w:rFonts w:eastAsia="Times New Roman" w:cs="Arial"/>
          <w:spacing w:val="1"/>
        </w:rPr>
        <w:t>forests (overgrown agricultural areas, powerline, ditch areas, branches after clearing, sides of the roads). As Secondary Feedstock company purchases wood residual from sawmills.</w:t>
      </w:r>
    </w:p>
    <w:p w14:paraId="6E73A7A0" w14:textId="77777777" w:rsidR="005415D2" w:rsidRDefault="005415D2">
      <w:pPr>
        <w:spacing w:after="0" w:line="240" w:lineRule="auto"/>
        <w:rPr>
          <w:rFonts w:cstheme="minorHAnsi"/>
          <w:lang w:val="en-US" w:eastAsia="nl-NL"/>
        </w:rPr>
      </w:pPr>
    </w:p>
    <w:p w14:paraId="65F294C4" w14:textId="6FA02FB0" w:rsidR="005415D2" w:rsidRDefault="005415D2">
      <w:pPr>
        <w:spacing w:after="0" w:line="240" w:lineRule="auto"/>
        <w:rPr>
          <w:rFonts w:cs="Arial"/>
          <w:lang w:val="en-US" w:eastAsia="nl-NL"/>
        </w:rPr>
      </w:pPr>
    </w:p>
    <w:p w14:paraId="41A2D551" w14:textId="77777777" w:rsidR="005415D2" w:rsidRDefault="005415D2">
      <w:pPr>
        <w:spacing w:after="0" w:line="240" w:lineRule="auto"/>
        <w:rPr>
          <w:rFonts w:cstheme="minorHAnsi"/>
          <w:lang w:val="en-US" w:eastAsia="nl-NL"/>
        </w:rPr>
      </w:pPr>
    </w:p>
    <w:p w14:paraId="1EDE5B7F" w14:textId="77777777" w:rsidR="005415D2" w:rsidRDefault="00083003">
      <w:pPr>
        <w:rPr>
          <w:color w:val="000000" w:themeColor="text1"/>
        </w:rPr>
      </w:pPr>
      <w:proofErr w:type="spellStart"/>
      <w:proofErr w:type="gramStart"/>
      <w:r>
        <w:rPr>
          <w:b/>
          <w:bCs/>
          <w:color w:val="000000" w:themeColor="text1"/>
        </w:rPr>
        <w:t>Country:</w:t>
      </w:r>
      <w:r>
        <w:rPr>
          <w:color w:val="000000" w:themeColor="text1"/>
        </w:rPr>
        <w:t>Latvia</w:t>
      </w:r>
      <w:proofErr w:type="spellEnd"/>
      <w:proofErr w:type="gramEnd"/>
    </w:p>
    <w:p w14:paraId="5368CD29" w14:textId="77777777" w:rsidR="005415D2" w:rsidRDefault="00083003">
      <w:pPr>
        <w:rPr>
          <w:b/>
          <w:bCs/>
          <w:color w:val="000000" w:themeColor="text1"/>
        </w:rPr>
      </w:pPr>
      <w:r>
        <w:rPr>
          <w:b/>
          <w:bCs/>
          <w:color w:val="000000" w:themeColor="text1"/>
        </w:rPr>
        <w:t xml:space="preserve">Area/Region: </w:t>
      </w:r>
      <w:r>
        <w:rPr>
          <w:color w:val="000000" w:themeColor="text1"/>
        </w:rPr>
        <w:t>Latvia</w:t>
      </w:r>
    </w:p>
    <w:p w14:paraId="7693764F" w14:textId="77777777" w:rsidR="005415D2" w:rsidRDefault="00083003">
      <w:pPr>
        <w:rPr>
          <w:b/>
          <w:bCs/>
          <w:color w:val="000000" w:themeColor="text1"/>
        </w:rPr>
      </w:pPr>
      <w:r>
        <w:rPr>
          <w:b/>
          <w:bCs/>
          <w:color w:val="000000" w:themeColor="text1"/>
        </w:rPr>
        <w:t xml:space="preserve">Exclusions: </w:t>
      </w:r>
      <w:r>
        <w:rPr>
          <w:color w:val="000000" w:themeColor="text1"/>
        </w:rPr>
        <w:t>No</w:t>
      </w:r>
    </w:p>
    <w:p w14:paraId="7E5B63CD" w14:textId="77777777" w:rsidR="00000000" w:rsidRDefault="00131D2D" w:rsidP="00131D2D">
      <w:pPr>
        <w:spacing w:line="260" w:lineRule="atLeast"/>
        <w:jc w:val="both"/>
        <w:divId w:val="305013006"/>
        <w:rPr>
          <w:rFonts w:eastAsia="Times New Roman" w:cs="Arial"/>
          <w:spacing w:val="1"/>
        </w:rPr>
      </w:pPr>
      <w:r>
        <w:rPr>
          <w:rFonts w:eastAsia="Times New Roman" w:cs="Arial"/>
          <w:spacing w:val="1"/>
        </w:rPr>
        <w:t xml:space="preserve">In Latvia SBP-compliant material is sourced from SBP certified supplier and/or from FSC and PEFS forests. For every </w:t>
      </w:r>
      <w:r>
        <w:rPr>
          <w:rFonts w:eastAsia="Times New Roman" w:cs="Arial"/>
          <w:spacing w:val="1"/>
        </w:rPr>
        <w:t xml:space="preserve">consignment will be signed contract and will be completed proper documents. The origin of supplies is proved by purchase agreements signed with them, </w:t>
      </w:r>
      <w:proofErr w:type="gramStart"/>
      <w:r>
        <w:rPr>
          <w:rFonts w:eastAsia="Times New Roman" w:cs="Arial"/>
          <w:spacing w:val="1"/>
        </w:rPr>
        <w:t>invoices</w:t>
      </w:r>
      <w:proofErr w:type="gramEnd"/>
      <w:r>
        <w:rPr>
          <w:rFonts w:eastAsia="Times New Roman" w:cs="Arial"/>
          <w:spacing w:val="1"/>
        </w:rPr>
        <w:t xml:space="preserve"> and accompanying documents. Additionally, company must control the validity of the certificate</w:t>
      </w:r>
      <w:r>
        <w:rPr>
          <w:rFonts w:eastAsia="Times New Roman" w:cs="Arial"/>
          <w:spacing w:val="1"/>
        </w:rPr>
        <w:t>.</w:t>
      </w:r>
    </w:p>
    <w:p w14:paraId="1310AB1B" w14:textId="77777777" w:rsidR="005415D2" w:rsidRDefault="005415D2">
      <w:pPr>
        <w:spacing w:after="0" w:line="240" w:lineRule="auto"/>
        <w:rPr>
          <w:rFonts w:cstheme="minorHAnsi"/>
          <w:lang w:val="en-US" w:eastAsia="nl-NL"/>
        </w:rPr>
      </w:pPr>
    </w:p>
    <w:p w14:paraId="0180F990" w14:textId="77777777" w:rsidR="005415D2" w:rsidRDefault="005415D2">
      <w:pPr>
        <w:spacing w:after="0" w:line="240" w:lineRule="auto"/>
        <w:rPr>
          <w:rFonts w:cs="Arial"/>
          <w:lang w:val="en-US" w:eastAsia="nl-NL"/>
        </w:rPr>
      </w:pPr>
    </w:p>
    <w:p w14:paraId="6F5264C0" w14:textId="77777777" w:rsidR="002C2A0D" w:rsidRPr="000C27C4" w:rsidRDefault="002C2A0D">
      <w:pPr>
        <w:spacing w:after="0" w:line="240" w:lineRule="auto"/>
        <w:rPr>
          <w:rFonts w:cs="Arial"/>
          <w:lang w:val="en-US" w:eastAsia="nl-NL"/>
        </w:rPr>
      </w:pPr>
    </w:p>
    <w:p w14:paraId="264215EC" w14:textId="66B2DBED" w:rsidR="005415D2" w:rsidRDefault="00083003" w:rsidP="000C27C4">
      <w:pPr>
        <w:pStyle w:val="Heading2"/>
      </w:pPr>
      <w:bookmarkStart w:id="6" w:name="_Toc63846076"/>
      <w:r>
        <w:t xml:space="preserve">Actions taken to promote certification amongst feedstock </w:t>
      </w:r>
      <w:proofErr w:type="gramStart"/>
      <w:r>
        <w:t>supplier</w:t>
      </w:r>
      <w:bookmarkEnd w:id="5"/>
      <w:bookmarkEnd w:id="6"/>
      <w:proofErr w:type="gramEnd"/>
    </w:p>
    <w:p w14:paraId="2339E36E" w14:textId="77777777" w:rsidR="00000000" w:rsidRDefault="00131D2D" w:rsidP="00131D2D">
      <w:pPr>
        <w:spacing w:line="260" w:lineRule="atLeast"/>
        <w:jc w:val="both"/>
        <w:divId w:val="1274165685"/>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informs suppliers about criteria and importance of FSC and PEFC certificates, as the industry requires more and more certification. </w:t>
      </w:r>
      <w:proofErr w:type="spellStart"/>
      <w:r>
        <w:rPr>
          <w:rFonts w:eastAsia="Times New Roman" w:cs="Arial"/>
          <w:spacing w:val="1"/>
        </w:rPr>
        <w:t>Pusbroliai</w:t>
      </w:r>
      <w:proofErr w:type="spellEnd"/>
      <w:r>
        <w:rPr>
          <w:rFonts w:eastAsia="Times New Roman" w:cs="Arial"/>
          <w:spacing w:val="1"/>
        </w:rPr>
        <w:t xml:space="preserve"> UAB also is informing suppliers about </w:t>
      </w:r>
      <w:r>
        <w:rPr>
          <w:rFonts w:eastAsia="Times New Roman" w:cs="Arial"/>
          <w:spacing w:val="1"/>
        </w:rPr>
        <w:t>SBP objectives and requirements and importance to comply with them. These documents promote legal and sustainable forest management, exclude timber from undefined sources and from Woodland Key Habitats (WKH).</w:t>
      </w:r>
    </w:p>
    <w:p w14:paraId="0F31BCB1" w14:textId="77777777" w:rsidR="000C27C4" w:rsidRDefault="000C27C4">
      <w:pPr>
        <w:spacing w:after="0" w:line="240" w:lineRule="auto"/>
        <w:rPr>
          <w:rFonts w:cstheme="minorHAnsi"/>
          <w:lang w:val="en-US" w:eastAsia="nl-NL"/>
        </w:rPr>
      </w:pPr>
    </w:p>
    <w:p w14:paraId="1CFBAD37" w14:textId="0ECCDBA6" w:rsidR="005415D2" w:rsidRDefault="00083003" w:rsidP="000C27C4">
      <w:pPr>
        <w:pStyle w:val="Heading2"/>
      </w:pPr>
      <w:bookmarkStart w:id="7" w:name="_Toc412646200"/>
      <w:bookmarkStart w:id="8" w:name="_Toc63846077"/>
      <w:r>
        <w:lastRenderedPageBreak/>
        <w:t>Quantification of the Supply Base</w:t>
      </w:r>
      <w:bookmarkEnd w:id="7"/>
      <w:bookmarkEnd w:id="8"/>
    </w:p>
    <w:p w14:paraId="7E30C821" w14:textId="77777777" w:rsidR="005415D2" w:rsidRPr="000C27C4" w:rsidRDefault="00083003" w:rsidP="000C27C4">
      <w:pPr>
        <w:pStyle w:val="Kop51"/>
      </w:pPr>
      <w:r w:rsidRPr="000C27C4">
        <w:t>Supply Base</w:t>
      </w:r>
    </w:p>
    <w:p w14:paraId="307AA030" w14:textId="0D0CFD03" w:rsidR="005415D2" w:rsidRDefault="00083003">
      <w:pPr>
        <w:pStyle w:val="Lijstalinea1"/>
        <w:numPr>
          <w:ilvl w:val="0"/>
          <w:numId w:val="10"/>
        </w:numPr>
      </w:pPr>
      <w:r>
        <w:rPr>
          <w:b/>
          <w:bCs/>
        </w:rPr>
        <w:t>Total Supply Base area (million ha)</w:t>
      </w:r>
      <w:r>
        <w:t>: 5</w:t>
      </w:r>
      <w:r w:rsidR="00131D2D">
        <w:t>.</w:t>
      </w:r>
      <w:r>
        <w:t>24</w:t>
      </w:r>
    </w:p>
    <w:p w14:paraId="6B601133" w14:textId="7AB1690B" w:rsidR="005415D2" w:rsidRDefault="00083003">
      <w:pPr>
        <w:pStyle w:val="Lijstalinea1"/>
        <w:numPr>
          <w:ilvl w:val="0"/>
          <w:numId w:val="10"/>
        </w:numPr>
      </w:pPr>
      <w:r>
        <w:rPr>
          <w:b/>
          <w:bCs/>
        </w:rPr>
        <w:t>Tenure by type (million ha):</w:t>
      </w:r>
      <w:r>
        <w:t>1</w:t>
      </w:r>
      <w:r w:rsidR="00131D2D">
        <w:t>.</w:t>
      </w:r>
      <w:r>
        <w:t>31 (Privately owned), 3.93 (Public)</w:t>
      </w:r>
    </w:p>
    <w:p w14:paraId="5F80C178" w14:textId="77777777" w:rsidR="005415D2" w:rsidRDefault="00083003">
      <w:pPr>
        <w:pStyle w:val="Lijstalinea1"/>
        <w:numPr>
          <w:ilvl w:val="0"/>
          <w:numId w:val="10"/>
        </w:numPr>
      </w:pPr>
      <w:r>
        <w:rPr>
          <w:b/>
          <w:bCs/>
        </w:rPr>
        <w:t>Forest by type (million ha</w:t>
      </w:r>
      <w:proofErr w:type="gramStart"/>
      <w:r>
        <w:rPr>
          <w:b/>
          <w:bCs/>
        </w:rPr>
        <w:t>):</w:t>
      </w:r>
      <w:r>
        <w:t>N</w:t>
      </w:r>
      <w:proofErr w:type="gramEnd"/>
      <w:r>
        <w:t>/A</w:t>
      </w:r>
    </w:p>
    <w:p w14:paraId="698B00D1" w14:textId="77777777" w:rsidR="005415D2" w:rsidRDefault="00083003">
      <w:pPr>
        <w:pStyle w:val="Lijstalinea1"/>
        <w:numPr>
          <w:ilvl w:val="0"/>
          <w:numId w:val="10"/>
        </w:numPr>
      </w:pPr>
      <w:r>
        <w:rPr>
          <w:b/>
          <w:bCs/>
        </w:rPr>
        <w:t>Forest by management type (million ha</w:t>
      </w:r>
      <w:proofErr w:type="gramStart"/>
      <w:r>
        <w:rPr>
          <w:b/>
          <w:bCs/>
        </w:rPr>
        <w:t>):</w:t>
      </w:r>
      <w:r>
        <w:t>N</w:t>
      </w:r>
      <w:proofErr w:type="gramEnd"/>
      <w:r>
        <w:t>/A</w:t>
      </w:r>
    </w:p>
    <w:p w14:paraId="14AB452B" w14:textId="77777777" w:rsidR="005415D2" w:rsidRDefault="00083003">
      <w:pPr>
        <w:pStyle w:val="Lijstalinea1"/>
        <w:numPr>
          <w:ilvl w:val="0"/>
          <w:numId w:val="10"/>
        </w:numPr>
      </w:pPr>
      <w:r>
        <w:rPr>
          <w:b/>
          <w:bCs/>
        </w:rPr>
        <w:t>Certified forest by scheme (million ha):</w:t>
      </w:r>
      <w:r>
        <w:t>2.50 (FSC)</w:t>
      </w:r>
    </w:p>
    <w:p w14:paraId="0989440A" w14:textId="77777777" w:rsidR="005415D2" w:rsidRDefault="005415D2">
      <w:pPr>
        <w:pStyle w:val="Lijstalinea1"/>
        <w:numPr>
          <w:ilvl w:val="0"/>
          <w:numId w:val="0"/>
        </w:numPr>
      </w:pPr>
    </w:p>
    <w:p w14:paraId="7203D6B2" w14:textId="77777777" w:rsidR="005415D2" w:rsidRDefault="00083003">
      <w:pPr>
        <w:pStyle w:val="Lijstalinea1"/>
        <w:numPr>
          <w:ilvl w:val="0"/>
          <w:numId w:val="0"/>
        </w:numPr>
        <w:rPr>
          <w:b/>
          <w:bCs/>
        </w:rPr>
      </w:pPr>
      <w:r>
        <w:rPr>
          <w:b/>
          <w:bCs/>
        </w:rPr>
        <w:t>Describe the harvesting type which best describes how your material is sourced:</w:t>
      </w:r>
      <w:r>
        <w:t xml:space="preserve"> Mix of the above</w:t>
      </w:r>
    </w:p>
    <w:p w14:paraId="18506B2B" w14:textId="77777777" w:rsidR="005415D2" w:rsidRDefault="00083003" w:rsidP="00131D2D">
      <w:pPr>
        <w:pStyle w:val="Lijstalinea1"/>
        <w:numPr>
          <w:ilvl w:val="0"/>
          <w:numId w:val="0"/>
        </w:numPr>
        <w:jc w:val="both"/>
        <w:rPr>
          <w:b/>
          <w:bCs/>
        </w:rPr>
      </w:pPr>
      <w:r>
        <w:rPr>
          <w:b/>
          <w:bCs/>
        </w:rPr>
        <w:t>Explanation:</w:t>
      </w:r>
      <w:r>
        <w:t xml:space="preserve"> The feedstock comes from thinning operations and from final harvest as firewood and timber offcuts and from areas outside forests (overgrown agricultural areas, powerline, ditch areas, branches after clearing, sides of the roads).</w:t>
      </w:r>
    </w:p>
    <w:p w14:paraId="602C17E0" w14:textId="77777777" w:rsidR="005415D2" w:rsidRDefault="00083003" w:rsidP="00131D2D">
      <w:pPr>
        <w:pStyle w:val="Lijstalinea1"/>
        <w:numPr>
          <w:ilvl w:val="0"/>
          <w:numId w:val="0"/>
        </w:numPr>
        <w:jc w:val="both"/>
        <w:rPr>
          <w:b/>
          <w:bCs/>
        </w:rPr>
      </w:pPr>
      <w:r>
        <w:rPr>
          <w:b/>
          <w:bCs/>
        </w:rPr>
        <w:t>Was the forest in the Supply Base managed for a purpose other than for energy markets?</w:t>
      </w:r>
      <w:r>
        <w:t xml:space="preserve"> Yes - Majority</w:t>
      </w:r>
    </w:p>
    <w:p w14:paraId="169CE29D" w14:textId="77777777" w:rsidR="005415D2" w:rsidRDefault="00083003" w:rsidP="00131D2D">
      <w:pPr>
        <w:pStyle w:val="Lijstalinea1"/>
        <w:numPr>
          <w:ilvl w:val="0"/>
          <w:numId w:val="0"/>
        </w:numPr>
        <w:jc w:val="both"/>
        <w:rPr>
          <w:b/>
          <w:bCs/>
        </w:rPr>
      </w:pPr>
      <w:r>
        <w:rPr>
          <w:b/>
          <w:bCs/>
        </w:rPr>
        <w:t>Explanation:</w:t>
      </w:r>
      <w:r>
        <w:t xml:space="preserve"> Forest is using for timber production. Material for chips </w:t>
      </w:r>
      <w:proofErr w:type="gramStart"/>
      <w:r>
        <w:t>are</w:t>
      </w:r>
      <w:proofErr w:type="gramEnd"/>
      <w:r>
        <w:t xml:space="preserve"> only from low value wood. </w:t>
      </w:r>
    </w:p>
    <w:p w14:paraId="1BAE6CA4" w14:textId="77777777" w:rsidR="005415D2" w:rsidRDefault="005415D2">
      <w:pPr>
        <w:pStyle w:val="Lijstalinea1"/>
        <w:numPr>
          <w:ilvl w:val="0"/>
          <w:numId w:val="0"/>
        </w:numPr>
        <w:rPr>
          <w:b/>
          <w:bCs/>
        </w:rPr>
      </w:pPr>
    </w:p>
    <w:p w14:paraId="0D8A8D9F" w14:textId="77777777" w:rsidR="005415D2" w:rsidRDefault="00083003" w:rsidP="00131D2D">
      <w:pPr>
        <w:pStyle w:val="Lijstalinea1"/>
        <w:numPr>
          <w:ilvl w:val="0"/>
          <w:numId w:val="0"/>
        </w:numPr>
        <w:jc w:val="both"/>
      </w:pPr>
      <w:r>
        <w:rPr>
          <w:b/>
          <w:bCs/>
        </w:rPr>
        <w:t>For the forests in the Supply Base, is there an intention to retain, restock or encourage natural regeneration within 5 years of felling?</w:t>
      </w:r>
      <w:r>
        <w:rPr>
          <w:i/>
          <w:iCs/>
        </w:rPr>
        <w:t xml:space="preserve"> </w:t>
      </w:r>
      <w:r>
        <w:t>Yes - Majority</w:t>
      </w:r>
    </w:p>
    <w:p w14:paraId="1767CF87" w14:textId="0351FFF5" w:rsidR="005415D2" w:rsidRDefault="00083003">
      <w:pPr>
        <w:pStyle w:val="Lijstalinea1"/>
        <w:numPr>
          <w:ilvl w:val="0"/>
          <w:numId w:val="0"/>
        </w:numPr>
      </w:pPr>
      <w:r>
        <w:rPr>
          <w:b/>
          <w:bCs/>
        </w:rPr>
        <w:t xml:space="preserve">Explanation: </w:t>
      </w:r>
      <w:r>
        <w:t xml:space="preserve">Reforestation or regeneration is </w:t>
      </w:r>
      <w:r w:rsidR="00131D2D">
        <w:t>m</w:t>
      </w:r>
      <w:r>
        <w:t>andatory under L</w:t>
      </w:r>
      <w:r w:rsidR="00131D2D">
        <w:t xml:space="preserve">ithuanian </w:t>
      </w:r>
      <w:r>
        <w:t>R</w:t>
      </w:r>
      <w:r w:rsidR="00131D2D">
        <w:t>epublic</w:t>
      </w:r>
      <w:r>
        <w:t xml:space="preserve"> law.</w:t>
      </w:r>
    </w:p>
    <w:p w14:paraId="04911B74" w14:textId="77777777" w:rsidR="005415D2" w:rsidRDefault="005415D2">
      <w:pPr>
        <w:pStyle w:val="Lijstalinea1"/>
        <w:numPr>
          <w:ilvl w:val="0"/>
          <w:numId w:val="0"/>
        </w:numPr>
        <w:rPr>
          <w:b/>
          <w:bCs/>
        </w:rPr>
      </w:pPr>
    </w:p>
    <w:p w14:paraId="4DD6E777" w14:textId="77777777" w:rsidR="005415D2" w:rsidRDefault="00083003" w:rsidP="00131D2D">
      <w:pPr>
        <w:pStyle w:val="Lijstalinea1"/>
        <w:numPr>
          <w:ilvl w:val="0"/>
          <w:numId w:val="0"/>
        </w:numPr>
        <w:jc w:val="both"/>
        <w:rPr>
          <w:b/>
          <w:bCs/>
        </w:rPr>
      </w:pPr>
      <w:r>
        <w:rPr>
          <w:b/>
          <w:bCs/>
        </w:rPr>
        <w:t>Was the feedstock used in the biomass removed from a forest as part of a pest/disease control measure or a salvage operation?</w:t>
      </w:r>
      <w:r>
        <w:t xml:space="preserve"> No</w:t>
      </w:r>
    </w:p>
    <w:p w14:paraId="487A8E28" w14:textId="77777777" w:rsidR="005415D2" w:rsidRDefault="00083003">
      <w:pPr>
        <w:pStyle w:val="Lijstalinea1"/>
        <w:numPr>
          <w:ilvl w:val="0"/>
          <w:numId w:val="0"/>
        </w:numPr>
        <w:rPr>
          <w:b/>
          <w:bCs/>
        </w:rPr>
      </w:pPr>
      <w:r>
        <w:rPr>
          <w:b/>
          <w:bCs/>
        </w:rPr>
        <w:t xml:space="preserve">Explanation: </w:t>
      </w:r>
      <w:r>
        <w:t>N/A</w:t>
      </w:r>
    </w:p>
    <w:p w14:paraId="20AC6AC7" w14:textId="77777777" w:rsidR="005415D2" w:rsidRDefault="00083003" w:rsidP="000C27C4">
      <w:pPr>
        <w:pStyle w:val="Kop51"/>
      </w:pPr>
      <w:r>
        <w:t>Feedstock</w:t>
      </w:r>
    </w:p>
    <w:p w14:paraId="11890A65" w14:textId="77777777" w:rsidR="005415D2" w:rsidRDefault="00083003">
      <w:pPr>
        <w:pStyle w:val="Standaard1"/>
        <w:rPr>
          <w:b/>
          <w:bCs/>
        </w:rPr>
      </w:pPr>
      <w:r>
        <w:rPr>
          <w:b/>
          <w:bCs/>
        </w:rPr>
        <w:t xml:space="preserve">Reporting period from: </w:t>
      </w:r>
      <w:r>
        <w:t>01 Nov 2020</w:t>
      </w:r>
    </w:p>
    <w:p w14:paraId="51607DB6" w14:textId="77777777" w:rsidR="005415D2" w:rsidRDefault="00083003">
      <w:pPr>
        <w:pStyle w:val="Standaard1"/>
        <w:rPr>
          <w:b/>
          <w:bCs/>
        </w:rPr>
      </w:pPr>
      <w:r>
        <w:rPr>
          <w:b/>
          <w:bCs/>
        </w:rPr>
        <w:t xml:space="preserve">Reporting period </w:t>
      </w:r>
      <w:proofErr w:type="gramStart"/>
      <w:r>
        <w:rPr>
          <w:b/>
          <w:bCs/>
        </w:rPr>
        <w:t>to:</w:t>
      </w:r>
      <w:proofErr w:type="gramEnd"/>
      <w:r>
        <w:rPr>
          <w:b/>
          <w:bCs/>
        </w:rPr>
        <w:t xml:space="preserve"> </w:t>
      </w:r>
      <w:r>
        <w:t>31 Oct 2021</w:t>
      </w:r>
      <w:r>
        <w:rPr>
          <w:i/>
          <w:iCs/>
          <w:highlight w:val="yellow"/>
        </w:rPr>
        <w:t xml:space="preserve"> </w:t>
      </w:r>
      <w:r>
        <w:t xml:space="preserve"> </w:t>
      </w:r>
    </w:p>
    <w:p w14:paraId="7DC391B8" w14:textId="77777777" w:rsidR="005415D2" w:rsidRDefault="00083003">
      <w:pPr>
        <w:pStyle w:val="Lijstalinea1"/>
        <w:numPr>
          <w:ilvl w:val="0"/>
          <w:numId w:val="12"/>
        </w:numPr>
      </w:pPr>
      <w:r>
        <w:rPr>
          <w:b/>
          <w:bCs/>
        </w:rPr>
        <w:t>Total volume of Feedstock</w:t>
      </w:r>
      <w:r>
        <w:rPr>
          <w:color w:val="808080" w:themeColor="background1" w:themeShade="80"/>
        </w:rPr>
        <w:t xml:space="preserve">: </w:t>
      </w:r>
      <w:r>
        <w:t>200,000-400,000 tonnes</w:t>
      </w:r>
    </w:p>
    <w:p w14:paraId="52BA418B" w14:textId="77777777" w:rsidR="005415D2" w:rsidRDefault="00083003">
      <w:pPr>
        <w:pStyle w:val="Lijstalinea1"/>
        <w:numPr>
          <w:ilvl w:val="0"/>
          <w:numId w:val="12"/>
        </w:numPr>
      </w:pPr>
      <w:r>
        <w:rPr>
          <w:b/>
          <w:bCs/>
        </w:rPr>
        <w:t>Volume of primary feedstoc</w:t>
      </w:r>
      <w:r>
        <w:t>k: 1-200,000 tonnes</w:t>
      </w:r>
      <w:r>
        <w:rPr>
          <w:vertAlign w:val="subscript"/>
        </w:rPr>
        <w:t xml:space="preserve"> </w:t>
      </w:r>
    </w:p>
    <w:p w14:paraId="4E715B85" w14:textId="77777777" w:rsidR="005415D2" w:rsidRDefault="00083003">
      <w:pPr>
        <w:pStyle w:val="Lijstalinea1"/>
        <w:numPr>
          <w:ilvl w:val="0"/>
          <w:numId w:val="12"/>
        </w:numPr>
      </w:pPr>
      <w:r>
        <w:rPr>
          <w:b/>
          <w:bCs/>
        </w:rPr>
        <w:t>List percentage of primary feedstock, by the following categories.</w:t>
      </w:r>
      <w:r>
        <w:t xml:space="preserve"> </w:t>
      </w:r>
    </w:p>
    <w:p w14:paraId="6DD0D7FA" w14:textId="77777777" w:rsidR="005415D2" w:rsidRDefault="00083003">
      <w:pPr>
        <w:pStyle w:val="Lijstalinea1"/>
        <w:numPr>
          <w:ilvl w:val="1"/>
          <w:numId w:val="12"/>
        </w:numPr>
      </w:pPr>
      <w:r>
        <w:t>Certified to an SBP-approved Forest Management Scheme: 60% - 79%</w:t>
      </w:r>
    </w:p>
    <w:p w14:paraId="7FFA89C7" w14:textId="77777777" w:rsidR="005415D2" w:rsidRDefault="00083003">
      <w:pPr>
        <w:pStyle w:val="Lijstalinea1"/>
        <w:numPr>
          <w:ilvl w:val="1"/>
          <w:numId w:val="12"/>
        </w:numPr>
      </w:pPr>
      <w:r>
        <w:t>Not certified to an SBP-approved Forest Management Scheme: 20% - 39%</w:t>
      </w:r>
    </w:p>
    <w:p w14:paraId="58DC1F19" w14:textId="58437861" w:rsidR="005415D2" w:rsidRPr="006C3DE1" w:rsidRDefault="00083003" w:rsidP="00131D2D">
      <w:pPr>
        <w:pStyle w:val="Lijstalinea1"/>
        <w:numPr>
          <w:ilvl w:val="0"/>
          <w:numId w:val="12"/>
        </w:numPr>
        <w:spacing w:after="0" w:line="240" w:lineRule="auto"/>
        <w:jc w:val="both"/>
        <w:rPr>
          <w:rFonts w:cs="Arial"/>
          <w:lang w:val="en-US" w:eastAsia="nl-NL"/>
        </w:rPr>
      </w:pPr>
      <w:r w:rsidRPr="006C3DE1">
        <w:rPr>
          <w:b/>
          <w:bCs/>
        </w:rPr>
        <w:t>List of all the species in primary feedstock, including scientific name:</w:t>
      </w:r>
      <w:r w:rsidR="006C3DE1">
        <w:t xml:space="preserve"> </w:t>
      </w:r>
      <w:r w:rsidRPr="006C3DE1">
        <w:rPr>
          <w:rFonts w:cs="Arial"/>
          <w:lang w:val="en-US" w:eastAsia="nl-NL"/>
        </w:rPr>
        <w:t xml:space="preserve"> </w:t>
      </w:r>
      <w:r w:rsidRPr="006C3DE1">
        <w:rPr>
          <w:rFonts w:cs="Arial"/>
          <w:lang w:val="en-IN"/>
        </w:rPr>
        <w:t xml:space="preserve">Alnus </w:t>
      </w:r>
      <w:proofErr w:type="spellStart"/>
      <w:r w:rsidRPr="006C3DE1">
        <w:rPr>
          <w:rFonts w:cs="Arial"/>
          <w:lang w:val="en-IN"/>
        </w:rPr>
        <w:t>glutinosa</w:t>
      </w:r>
      <w:proofErr w:type="spellEnd"/>
      <w:r w:rsidR="00931148" w:rsidRPr="006C3DE1">
        <w:rPr>
          <w:rFonts w:cs="Arial"/>
          <w:lang w:val="en-IN"/>
        </w:rPr>
        <w:t xml:space="preserve"> </w:t>
      </w:r>
      <w:r w:rsidRPr="006C3DE1">
        <w:rPr>
          <w:rFonts w:cs="Arial"/>
          <w:lang w:val="en-IN"/>
        </w:rPr>
        <w:t>(Black alder</w:t>
      </w:r>
      <w:proofErr w:type="gramStart"/>
      <w:r w:rsidRPr="006C3DE1">
        <w:rPr>
          <w:rFonts w:cs="Arial"/>
          <w:lang w:val="en-IN"/>
        </w:rPr>
        <w:t>)</w:t>
      </w:r>
      <w:r w:rsidR="00931148" w:rsidRPr="006C3DE1">
        <w:rPr>
          <w:rFonts w:cs="Arial"/>
          <w:lang w:val="en-IN"/>
        </w:rPr>
        <w:t xml:space="preserve">; </w:t>
      </w:r>
      <w:r w:rsidRPr="006C3DE1">
        <w:rPr>
          <w:rFonts w:cs="Arial"/>
          <w:lang w:val="en-US" w:eastAsia="nl-NL"/>
        </w:rPr>
        <w:t xml:space="preserve"> </w:t>
      </w:r>
      <w:r w:rsidRPr="006C3DE1">
        <w:rPr>
          <w:rFonts w:cs="Arial"/>
          <w:lang w:val="en-IN"/>
        </w:rPr>
        <w:t>Betula</w:t>
      </w:r>
      <w:proofErr w:type="gramEnd"/>
      <w:r w:rsidRPr="006C3DE1">
        <w:rPr>
          <w:rFonts w:cs="Arial"/>
          <w:lang w:val="en-IN"/>
        </w:rPr>
        <w:t xml:space="preserve"> pendula</w:t>
      </w:r>
      <w:r w:rsidR="00931148" w:rsidRPr="006C3DE1">
        <w:rPr>
          <w:rFonts w:cs="Arial"/>
          <w:lang w:val="en-IN"/>
        </w:rPr>
        <w:t xml:space="preserve"> </w:t>
      </w:r>
      <w:r w:rsidRPr="006C3DE1">
        <w:rPr>
          <w:rFonts w:cs="Arial"/>
          <w:lang w:val="en-IN"/>
        </w:rPr>
        <w:t>(European birch)</w:t>
      </w:r>
      <w:r w:rsidR="00931148" w:rsidRPr="006C3DE1">
        <w:rPr>
          <w:rFonts w:cs="Arial"/>
          <w:lang w:val="en-IN"/>
        </w:rPr>
        <w:t xml:space="preserve">; </w:t>
      </w:r>
      <w:r w:rsidRPr="006C3DE1">
        <w:rPr>
          <w:rFonts w:cs="Arial"/>
          <w:lang w:val="en-US" w:eastAsia="nl-NL"/>
        </w:rPr>
        <w:t xml:space="preserve"> </w:t>
      </w:r>
      <w:r w:rsidRPr="006C3DE1">
        <w:rPr>
          <w:rFonts w:cs="Arial"/>
          <w:lang w:val="en-IN"/>
        </w:rPr>
        <w:t xml:space="preserve">Populus </w:t>
      </w:r>
      <w:proofErr w:type="spellStart"/>
      <w:r w:rsidRPr="006C3DE1">
        <w:rPr>
          <w:rFonts w:cs="Arial"/>
          <w:lang w:val="en-IN"/>
        </w:rPr>
        <w:t>tremula</w:t>
      </w:r>
      <w:proofErr w:type="spellEnd"/>
      <w:r w:rsidR="00931148" w:rsidRPr="006C3DE1">
        <w:rPr>
          <w:rFonts w:cs="Arial"/>
          <w:lang w:val="en-IN"/>
        </w:rPr>
        <w:t xml:space="preserve"> </w:t>
      </w:r>
      <w:r w:rsidRPr="006C3DE1">
        <w:rPr>
          <w:rFonts w:cs="Arial"/>
          <w:lang w:val="en-IN"/>
        </w:rPr>
        <w:t>(European aspen)</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Picea</w:t>
      </w:r>
      <w:proofErr w:type="spellEnd"/>
      <w:r w:rsidRPr="006C3DE1">
        <w:rPr>
          <w:rFonts w:cs="Arial"/>
          <w:lang w:val="en-IN"/>
        </w:rPr>
        <w:t xml:space="preserve"> </w:t>
      </w:r>
      <w:proofErr w:type="spellStart"/>
      <w:r w:rsidRPr="006C3DE1">
        <w:rPr>
          <w:rFonts w:cs="Arial"/>
          <w:lang w:val="en-IN"/>
        </w:rPr>
        <w:t>abies</w:t>
      </w:r>
      <w:proofErr w:type="spellEnd"/>
      <w:r w:rsidR="00931148" w:rsidRPr="006C3DE1">
        <w:rPr>
          <w:rFonts w:cs="Arial"/>
          <w:lang w:val="en-IN"/>
        </w:rPr>
        <w:t xml:space="preserve"> </w:t>
      </w:r>
      <w:r w:rsidRPr="006C3DE1">
        <w:rPr>
          <w:rFonts w:cs="Arial"/>
          <w:lang w:val="en-IN"/>
        </w:rPr>
        <w:t>(Spruce scots pine)</w:t>
      </w:r>
      <w:r w:rsidR="00931148" w:rsidRPr="006C3DE1">
        <w:rPr>
          <w:rFonts w:cs="Arial"/>
          <w:lang w:val="en-IN"/>
        </w:rPr>
        <w:t xml:space="preserve">; </w:t>
      </w:r>
      <w:r w:rsidRPr="006C3DE1">
        <w:rPr>
          <w:rFonts w:cs="Arial"/>
          <w:lang w:val="en-US" w:eastAsia="nl-NL"/>
        </w:rPr>
        <w:t xml:space="preserve"> </w:t>
      </w:r>
    </w:p>
    <w:p w14:paraId="0FA1F46D" w14:textId="77777777" w:rsidR="005415D2" w:rsidRPr="000C27C4" w:rsidRDefault="00083003">
      <w:pPr>
        <w:pStyle w:val="Lijstalinea1"/>
        <w:numPr>
          <w:ilvl w:val="0"/>
          <w:numId w:val="12"/>
        </w:numPr>
        <w:rPr>
          <w:rFonts w:cs="Arial"/>
          <w:b/>
          <w:bCs/>
        </w:rPr>
      </w:pPr>
      <w:r w:rsidRPr="000C27C4">
        <w:rPr>
          <w:rFonts w:cs="Arial"/>
          <w:b/>
          <w:bCs/>
        </w:rPr>
        <w:t xml:space="preserve">Is any of the feedstock used likely to have come from protected or threatened species?  </w:t>
      </w:r>
      <w:r w:rsidRPr="000C27C4">
        <w:rPr>
          <w:rFonts w:cs="Arial"/>
        </w:rPr>
        <w:t>No</w:t>
      </w:r>
    </w:p>
    <w:p w14:paraId="532AB41E" w14:textId="77777777" w:rsidR="005415D2" w:rsidRPr="000C27C4" w:rsidRDefault="00083003">
      <w:pPr>
        <w:pStyle w:val="Lijstalinea1"/>
        <w:numPr>
          <w:ilvl w:val="1"/>
          <w:numId w:val="12"/>
        </w:numPr>
        <w:rPr>
          <w:rFonts w:cs="Arial"/>
        </w:rPr>
      </w:pPr>
      <w:r w:rsidRPr="000C27C4">
        <w:rPr>
          <w:rFonts w:cs="Arial"/>
        </w:rPr>
        <w:t>Name of species: N/A</w:t>
      </w:r>
    </w:p>
    <w:p w14:paraId="284CB76B" w14:textId="77777777" w:rsidR="005415D2" w:rsidRPr="000C27C4" w:rsidRDefault="00083003">
      <w:pPr>
        <w:pStyle w:val="Lijstalinea1"/>
        <w:numPr>
          <w:ilvl w:val="1"/>
          <w:numId w:val="12"/>
        </w:numPr>
        <w:rPr>
          <w:rFonts w:cs="Arial"/>
        </w:rPr>
      </w:pPr>
      <w:r w:rsidRPr="000C27C4">
        <w:rPr>
          <w:rFonts w:cs="Arial"/>
        </w:rPr>
        <w:t>Biomass proportion, by weight, that is likely to be composed of that species (%): N/A</w:t>
      </w:r>
    </w:p>
    <w:p w14:paraId="22255984" w14:textId="77777777" w:rsidR="005415D2" w:rsidRPr="000C27C4" w:rsidRDefault="00083003">
      <w:pPr>
        <w:pStyle w:val="Lijstalinea1"/>
        <w:numPr>
          <w:ilvl w:val="0"/>
          <w:numId w:val="12"/>
        </w:numPr>
        <w:rPr>
          <w:rFonts w:cs="Arial"/>
          <w:b/>
          <w:bCs/>
        </w:rPr>
      </w:pPr>
      <w:r w:rsidRPr="000C27C4">
        <w:rPr>
          <w:rFonts w:cs="Arial"/>
          <w:b/>
          <w:bCs/>
        </w:rPr>
        <w:t>Hardwood (</w:t>
      </w:r>
      <w:proofErr w:type="gramStart"/>
      <w:r w:rsidRPr="000C27C4">
        <w:rPr>
          <w:rFonts w:cs="Arial"/>
          <w:b/>
          <w:bCs/>
        </w:rPr>
        <w:t>i.e.</w:t>
      </w:r>
      <w:proofErr w:type="gramEnd"/>
      <w:r w:rsidRPr="000C27C4">
        <w:rPr>
          <w:rFonts w:cs="Arial"/>
          <w:b/>
          <w:bCs/>
        </w:rPr>
        <w:t xml:space="preserve"> broadleaf trees): specify proportion of biomass from (%):</w:t>
      </w:r>
      <w:r w:rsidRPr="000C27C4">
        <w:rPr>
          <w:rFonts w:cs="Arial"/>
        </w:rPr>
        <w:t xml:space="preserve"> N/A</w:t>
      </w:r>
    </w:p>
    <w:p w14:paraId="0DE7E809" w14:textId="77777777" w:rsidR="005415D2" w:rsidRPr="000C27C4" w:rsidRDefault="00083003">
      <w:pPr>
        <w:pStyle w:val="Lijstalinea1"/>
        <w:numPr>
          <w:ilvl w:val="0"/>
          <w:numId w:val="12"/>
        </w:numPr>
        <w:rPr>
          <w:rFonts w:cs="Arial"/>
          <w:b/>
          <w:bCs/>
        </w:rPr>
      </w:pPr>
      <w:r w:rsidRPr="000C27C4">
        <w:rPr>
          <w:rFonts w:cs="Arial"/>
          <w:b/>
          <w:bCs/>
        </w:rPr>
        <w:t>Softwood (</w:t>
      </w:r>
      <w:proofErr w:type="gramStart"/>
      <w:r w:rsidRPr="000C27C4">
        <w:rPr>
          <w:rFonts w:cs="Arial"/>
          <w:b/>
          <w:bCs/>
        </w:rPr>
        <w:t>i.e.</w:t>
      </w:r>
      <w:proofErr w:type="gramEnd"/>
      <w:r w:rsidRPr="000C27C4">
        <w:rPr>
          <w:rFonts w:cs="Arial"/>
          <w:b/>
          <w:bCs/>
        </w:rPr>
        <w:t xml:space="preserve"> coniferous trees): specify proportion of biomass from (%):</w:t>
      </w:r>
      <w:r w:rsidRPr="000C27C4">
        <w:rPr>
          <w:rFonts w:cs="Arial"/>
        </w:rPr>
        <w:t xml:space="preserve"> N/A</w:t>
      </w:r>
    </w:p>
    <w:p w14:paraId="14BD54E6" w14:textId="77777777" w:rsidR="005415D2" w:rsidRPr="000C27C4" w:rsidRDefault="00083003">
      <w:pPr>
        <w:pStyle w:val="Lijstalinea1"/>
        <w:numPr>
          <w:ilvl w:val="0"/>
          <w:numId w:val="12"/>
        </w:numPr>
        <w:rPr>
          <w:rFonts w:cs="Arial"/>
          <w:b/>
          <w:bCs/>
        </w:rPr>
      </w:pPr>
      <w:r w:rsidRPr="000C27C4">
        <w:rPr>
          <w:rFonts w:cs="Arial"/>
          <w:b/>
          <w:bCs/>
        </w:rPr>
        <w:t>Proportion of biomass composed of or derived from saw logs (%):</w:t>
      </w:r>
      <w:r w:rsidRPr="000C27C4">
        <w:rPr>
          <w:rFonts w:cs="Arial"/>
        </w:rPr>
        <w:t xml:space="preserve"> N/A</w:t>
      </w:r>
    </w:p>
    <w:p w14:paraId="3E6EB4CD" w14:textId="77777777" w:rsidR="005415D2" w:rsidRPr="000C27C4" w:rsidRDefault="00083003">
      <w:pPr>
        <w:pStyle w:val="Lijstalinea1"/>
        <w:numPr>
          <w:ilvl w:val="0"/>
          <w:numId w:val="12"/>
        </w:numPr>
        <w:rPr>
          <w:rFonts w:cs="Arial"/>
          <w:b/>
          <w:bCs/>
        </w:rPr>
      </w:pPr>
      <w:r w:rsidRPr="000C27C4">
        <w:rPr>
          <w:rFonts w:cs="Arial"/>
          <w:b/>
          <w:bCs/>
        </w:rPr>
        <w:t xml:space="preserve">Specify the local regulations or industry standards that define saw logs: </w:t>
      </w:r>
      <w:r w:rsidRPr="000C27C4">
        <w:rPr>
          <w:rFonts w:cs="Arial"/>
        </w:rPr>
        <w:t>N/A</w:t>
      </w:r>
    </w:p>
    <w:p w14:paraId="381AED9F" w14:textId="77777777" w:rsidR="005415D2" w:rsidRPr="000C27C4" w:rsidRDefault="00083003">
      <w:pPr>
        <w:pStyle w:val="Lijstalinea1"/>
        <w:numPr>
          <w:ilvl w:val="0"/>
          <w:numId w:val="12"/>
        </w:numPr>
        <w:rPr>
          <w:rFonts w:cs="Arial"/>
          <w:b/>
          <w:bCs/>
        </w:rPr>
      </w:pPr>
      <w:r w:rsidRPr="000C27C4">
        <w:rPr>
          <w:rFonts w:cs="Arial"/>
          <w:b/>
          <w:bCs/>
        </w:rPr>
        <w:t xml:space="preserve">Roundwood from final </w:t>
      </w:r>
      <w:proofErr w:type="spellStart"/>
      <w:r w:rsidRPr="000C27C4">
        <w:rPr>
          <w:rFonts w:cs="Arial"/>
          <w:b/>
          <w:bCs/>
        </w:rPr>
        <w:t>fellings</w:t>
      </w:r>
      <w:proofErr w:type="spellEnd"/>
      <w:r w:rsidRPr="000C27C4">
        <w:rPr>
          <w:rFonts w:cs="Arial"/>
          <w:b/>
          <w:bCs/>
        </w:rPr>
        <w:t xml:space="preserve"> from forests with &gt; 40 </w:t>
      </w:r>
      <w:proofErr w:type="spellStart"/>
      <w:r w:rsidRPr="000C27C4">
        <w:rPr>
          <w:rFonts w:cs="Arial"/>
          <w:b/>
          <w:bCs/>
        </w:rPr>
        <w:t>yr</w:t>
      </w:r>
      <w:proofErr w:type="spellEnd"/>
      <w:r w:rsidRPr="000C27C4">
        <w:rPr>
          <w:rFonts w:cs="Arial"/>
          <w:b/>
          <w:bCs/>
        </w:rPr>
        <w:t xml:space="preserve"> rotation times - Average % volume of </w:t>
      </w:r>
      <w:proofErr w:type="spellStart"/>
      <w:r w:rsidRPr="000C27C4">
        <w:rPr>
          <w:rFonts w:cs="Arial"/>
          <w:b/>
          <w:bCs/>
        </w:rPr>
        <w:t>fellings</w:t>
      </w:r>
      <w:proofErr w:type="spellEnd"/>
      <w:r w:rsidRPr="000C27C4">
        <w:rPr>
          <w:rFonts w:cs="Arial"/>
          <w:b/>
          <w:bCs/>
        </w:rPr>
        <w:t xml:space="preserve"> delivered to BP (%): </w:t>
      </w:r>
      <w:r w:rsidRPr="000C27C4">
        <w:rPr>
          <w:rFonts w:cs="Arial"/>
        </w:rPr>
        <w:t>N/A</w:t>
      </w:r>
    </w:p>
    <w:p w14:paraId="7C1ABBBC" w14:textId="77777777" w:rsidR="005415D2" w:rsidRPr="000C27C4" w:rsidRDefault="00083003">
      <w:pPr>
        <w:pStyle w:val="Lijstalinea1"/>
        <w:numPr>
          <w:ilvl w:val="0"/>
          <w:numId w:val="12"/>
        </w:numPr>
        <w:rPr>
          <w:rFonts w:cs="Arial"/>
        </w:rPr>
      </w:pPr>
      <w:r w:rsidRPr="000C27C4">
        <w:rPr>
          <w:rFonts w:cs="Arial"/>
          <w:b/>
          <w:bCs/>
        </w:rPr>
        <w:t>Volume of primary feedstock from primary forest:</w:t>
      </w:r>
      <w:r w:rsidRPr="000C27C4">
        <w:rPr>
          <w:rFonts w:cs="Arial"/>
        </w:rPr>
        <w:t xml:space="preserve"> 60 %</w:t>
      </w:r>
    </w:p>
    <w:p w14:paraId="28A1065F" w14:textId="77777777" w:rsidR="005415D2" w:rsidRPr="000C27C4" w:rsidRDefault="00083003">
      <w:pPr>
        <w:pStyle w:val="Lijstalinea1"/>
        <w:numPr>
          <w:ilvl w:val="0"/>
          <w:numId w:val="12"/>
        </w:numPr>
        <w:rPr>
          <w:rFonts w:cs="Arial"/>
        </w:rPr>
      </w:pPr>
      <w:r w:rsidRPr="000C27C4">
        <w:rPr>
          <w:rFonts w:cs="Arial"/>
          <w:b/>
          <w:bCs/>
        </w:rPr>
        <w:lastRenderedPageBreak/>
        <w:t>List percentage of primary feedstock from primary forest, by the following categories. Subdivide by SBP-approved Forest Management Schemes</w:t>
      </w:r>
      <w:r w:rsidRPr="000C27C4">
        <w:rPr>
          <w:rFonts w:cs="Arial"/>
        </w:rPr>
        <w:t>:</w:t>
      </w:r>
    </w:p>
    <w:p w14:paraId="447E33B7" w14:textId="77777777" w:rsidR="005415D2" w:rsidRPr="000C27C4" w:rsidRDefault="00083003">
      <w:pPr>
        <w:pStyle w:val="Lijstalinea1"/>
        <w:numPr>
          <w:ilvl w:val="1"/>
          <w:numId w:val="12"/>
        </w:numPr>
        <w:rPr>
          <w:rFonts w:cs="Arial"/>
        </w:rPr>
      </w:pPr>
      <w:r w:rsidRPr="000C27C4">
        <w:rPr>
          <w:rFonts w:cs="Arial"/>
        </w:rPr>
        <w:t xml:space="preserve">Primary feedstock from primary forest certified to an SBP-approved Forest Management Scheme: 40% - 59% </w:t>
      </w:r>
    </w:p>
    <w:p w14:paraId="3892DF14" w14:textId="77777777" w:rsidR="005415D2" w:rsidRPr="000C27C4" w:rsidRDefault="00083003">
      <w:pPr>
        <w:pStyle w:val="Lijstalinea1"/>
        <w:numPr>
          <w:ilvl w:val="1"/>
          <w:numId w:val="12"/>
        </w:numPr>
        <w:rPr>
          <w:rFonts w:cs="Arial"/>
        </w:rPr>
      </w:pPr>
      <w:r w:rsidRPr="000C27C4">
        <w:rPr>
          <w:rFonts w:cs="Arial"/>
        </w:rPr>
        <w:t>Primary feedstock from primary forest not certified to an SBP-approved Forest Management Scheme: 40% - 59%</w:t>
      </w:r>
    </w:p>
    <w:p w14:paraId="7584D5CF" w14:textId="77777777" w:rsidR="005415D2" w:rsidRPr="000C27C4" w:rsidRDefault="00083003">
      <w:pPr>
        <w:pStyle w:val="Lijstalinea1"/>
        <w:numPr>
          <w:ilvl w:val="0"/>
          <w:numId w:val="12"/>
        </w:numPr>
        <w:rPr>
          <w:rFonts w:cs="Arial"/>
        </w:rPr>
      </w:pPr>
      <w:r w:rsidRPr="000C27C4">
        <w:rPr>
          <w:rFonts w:cs="Arial"/>
          <w:b/>
          <w:bCs/>
        </w:rPr>
        <w:t>Volume of secondary feedstock</w:t>
      </w:r>
      <w:r w:rsidRPr="000C27C4">
        <w:rPr>
          <w:rFonts w:cs="Arial"/>
        </w:rPr>
        <w:t xml:space="preserve">: 1-200,000 tonnes </w:t>
      </w:r>
    </w:p>
    <w:p w14:paraId="040B5459" w14:textId="77777777" w:rsidR="005415D2" w:rsidRPr="000C27C4" w:rsidRDefault="00083003">
      <w:pPr>
        <w:pStyle w:val="Lijstalinea1"/>
        <w:numPr>
          <w:ilvl w:val="1"/>
          <w:numId w:val="12"/>
        </w:numPr>
        <w:rPr>
          <w:rFonts w:cs="Arial"/>
        </w:rPr>
      </w:pPr>
      <w:r w:rsidRPr="000C27C4">
        <w:rPr>
          <w:rFonts w:cs="Arial"/>
        </w:rPr>
        <w:t>Physical form of the feedstock: Offcuts</w:t>
      </w:r>
    </w:p>
    <w:p w14:paraId="41AF8E68" w14:textId="77777777" w:rsidR="005415D2" w:rsidRPr="000C27C4" w:rsidRDefault="00083003">
      <w:pPr>
        <w:pStyle w:val="Lijstalinea1"/>
        <w:numPr>
          <w:ilvl w:val="0"/>
          <w:numId w:val="12"/>
        </w:numPr>
        <w:rPr>
          <w:rFonts w:cs="Arial"/>
        </w:rPr>
      </w:pPr>
      <w:r w:rsidRPr="000C27C4">
        <w:rPr>
          <w:rFonts w:cs="Arial"/>
          <w:b/>
          <w:bCs/>
        </w:rPr>
        <w:t>Volume of tertiary feedstock</w:t>
      </w:r>
      <w:r w:rsidRPr="000C27C4">
        <w:rPr>
          <w:rFonts w:cs="Arial"/>
        </w:rPr>
        <w:t xml:space="preserve">: 0 N/A </w:t>
      </w:r>
    </w:p>
    <w:p w14:paraId="06F70ED7" w14:textId="77777777" w:rsidR="005415D2" w:rsidRPr="000C27C4" w:rsidRDefault="00083003">
      <w:pPr>
        <w:pStyle w:val="Lijstalinea1"/>
        <w:numPr>
          <w:ilvl w:val="1"/>
          <w:numId w:val="12"/>
        </w:numPr>
        <w:rPr>
          <w:rFonts w:cs="Arial"/>
        </w:rPr>
      </w:pPr>
      <w:r w:rsidRPr="000C27C4">
        <w:rPr>
          <w:rFonts w:cs="Arial"/>
        </w:rPr>
        <w:t>Physical form of the feedstock: N/A</w:t>
      </w:r>
    </w:p>
    <w:p w14:paraId="4F010687" w14:textId="236EE919" w:rsidR="005415D2" w:rsidRDefault="005415D2"/>
    <w:p w14:paraId="70F135D3" w14:textId="77777777" w:rsidR="000C27C4" w:rsidRDefault="000C27C4"/>
    <w:tbl>
      <w:tblPr>
        <w:tblStyle w:val="TableGrid"/>
        <w:tblW w:w="0" w:type="auto"/>
        <w:tblInd w:w="0" w:type="dxa"/>
        <w:tblLook w:val="04A0" w:firstRow="1" w:lastRow="0" w:firstColumn="1" w:lastColumn="0" w:noHBand="0" w:noVBand="1"/>
      </w:tblPr>
      <w:tblGrid>
        <w:gridCol w:w="1704"/>
        <w:gridCol w:w="2247"/>
        <w:gridCol w:w="1951"/>
        <w:gridCol w:w="1905"/>
        <w:gridCol w:w="1821"/>
      </w:tblGrid>
      <w:tr w:rsidR="005415D2" w14:paraId="4DEA58F8" w14:textId="77777777">
        <w:tc>
          <w:tcPr>
            <w:tcW w:w="9628" w:type="dxa"/>
            <w:gridSpan w:val="5"/>
            <w:tcBorders>
              <w:top w:val="single" w:sz="4" w:space="0" w:color="auto"/>
              <w:left w:val="single" w:sz="4" w:space="0" w:color="auto"/>
              <w:bottom w:val="single" w:sz="4" w:space="0" w:color="auto"/>
              <w:right w:val="single" w:sz="4" w:space="0" w:color="auto"/>
            </w:tcBorders>
            <w:shd w:val="clear" w:color="auto" w:fill="006691"/>
            <w:vAlign w:val="center"/>
            <w:hideMark/>
          </w:tcPr>
          <w:p w14:paraId="75643A43" w14:textId="77777777" w:rsidR="005415D2" w:rsidRDefault="00083003">
            <w:pPr>
              <w:jc w:val="center"/>
              <w:rPr>
                <w:b/>
                <w:color w:val="FFFFFF" w:themeColor="background1"/>
                <w:lang w:val="en-US"/>
              </w:rPr>
            </w:pPr>
            <w:r>
              <w:rPr>
                <w:b/>
                <w:color w:val="FFFFFF" w:themeColor="background1"/>
                <w:lang w:val="en-US"/>
              </w:rPr>
              <w:t>Proportion of feedstock sourced per type of claim during the reporting period</w:t>
            </w:r>
          </w:p>
          <w:p w14:paraId="211C18A6" w14:textId="77777777" w:rsidR="005415D2" w:rsidRDefault="005415D2">
            <w:pPr>
              <w:jc w:val="center"/>
              <w:rPr>
                <w:b/>
                <w:bCs/>
              </w:rPr>
            </w:pPr>
          </w:p>
        </w:tc>
      </w:tr>
      <w:tr w:rsidR="005415D2" w14:paraId="140B3B6E" w14:textId="77777777">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63F291" w14:textId="77777777" w:rsidR="005415D2" w:rsidRDefault="00083003">
            <w:pPr>
              <w:jc w:val="center"/>
              <w:rPr>
                <w:b/>
                <w:bCs/>
              </w:rPr>
            </w:pPr>
            <w:r>
              <w:rPr>
                <w:b/>
                <w:bCs/>
              </w:rPr>
              <w:t>Feedstock type</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D81AA" w14:textId="77777777" w:rsidR="005415D2" w:rsidRDefault="00083003">
            <w:pPr>
              <w:jc w:val="center"/>
              <w:rPr>
                <w:b/>
                <w:bCs/>
              </w:rPr>
            </w:pPr>
            <w:r>
              <w:rPr>
                <w:b/>
                <w:bCs/>
              </w:rPr>
              <w:t>Sourced by using Supply Base Evaluation (SBE)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41A33" w14:textId="77777777" w:rsidR="005415D2" w:rsidRDefault="00083003">
            <w:pPr>
              <w:jc w:val="center"/>
              <w:rPr>
                <w:b/>
                <w:bCs/>
              </w:rPr>
            </w:pPr>
            <w:r>
              <w:rPr>
                <w:b/>
                <w:bCs/>
              </w:rPr>
              <w:t>FSC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DB5EC" w14:textId="77777777" w:rsidR="005415D2" w:rsidRDefault="00083003">
            <w:pPr>
              <w:jc w:val="center"/>
              <w:rPr>
                <w:b/>
                <w:bCs/>
              </w:rPr>
            </w:pPr>
            <w:r>
              <w:rPr>
                <w:b/>
                <w:bCs/>
              </w:rPr>
              <w:t>PEFC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8FCB3" w14:textId="77777777" w:rsidR="005415D2" w:rsidRDefault="00083003">
            <w:pPr>
              <w:jc w:val="center"/>
              <w:rPr>
                <w:b/>
                <w:bCs/>
              </w:rPr>
            </w:pPr>
            <w:r>
              <w:rPr>
                <w:b/>
                <w:bCs/>
              </w:rPr>
              <w:t>SFI %</w:t>
            </w:r>
          </w:p>
          <w:p w14:paraId="02731578" w14:textId="77777777" w:rsidR="005415D2" w:rsidRDefault="005415D2">
            <w:pPr>
              <w:spacing w:after="0" w:line="240" w:lineRule="auto"/>
            </w:pPr>
          </w:p>
        </w:tc>
      </w:tr>
      <w:tr w:rsidR="005415D2" w14:paraId="7130C8BE" w14:textId="77777777">
        <w:tc>
          <w:tcPr>
            <w:tcW w:w="2405" w:type="dxa"/>
            <w:tcBorders>
              <w:top w:val="single" w:sz="4" w:space="0" w:color="auto"/>
              <w:left w:val="single" w:sz="4" w:space="0" w:color="auto"/>
              <w:bottom w:val="single" w:sz="4" w:space="0" w:color="auto"/>
              <w:right w:val="single" w:sz="4" w:space="0" w:color="auto"/>
            </w:tcBorders>
            <w:hideMark/>
          </w:tcPr>
          <w:p w14:paraId="0DF3A7D9" w14:textId="77777777" w:rsidR="005415D2" w:rsidRDefault="00083003">
            <w:r>
              <w:t>Secondary</w:t>
            </w:r>
          </w:p>
        </w:tc>
        <w:tc>
          <w:tcPr>
            <w:tcW w:w="3686" w:type="dxa"/>
            <w:tcBorders>
              <w:top w:val="single" w:sz="4" w:space="0" w:color="auto"/>
              <w:left w:val="single" w:sz="4" w:space="0" w:color="auto"/>
              <w:bottom w:val="single" w:sz="4" w:space="0" w:color="auto"/>
              <w:right w:val="single" w:sz="4" w:space="0" w:color="auto"/>
            </w:tcBorders>
            <w:hideMark/>
          </w:tcPr>
          <w:p w14:paraId="577AD72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1E9C0464" w14:textId="77777777" w:rsidR="005415D2" w:rsidRDefault="00083003">
            <w:r>
              <w:t>100,00</w:t>
            </w:r>
          </w:p>
        </w:tc>
        <w:tc>
          <w:tcPr>
            <w:tcW w:w="3537" w:type="dxa"/>
            <w:tcBorders>
              <w:top w:val="single" w:sz="4" w:space="0" w:color="auto"/>
              <w:left w:val="single" w:sz="4" w:space="0" w:color="auto"/>
              <w:bottom w:val="single" w:sz="4" w:space="0" w:color="auto"/>
              <w:right w:val="single" w:sz="4" w:space="0" w:color="auto"/>
            </w:tcBorders>
            <w:hideMark/>
          </w:tcPr>
          <w:p w14:paraId="626121A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3540B42" w14:textId="77777777" w:rsidR="005415D2" w:rsidRDefault="00083003">
            <w:r>
              <w:t>0,00</w:t>
            </w:r>
          </w:p>
          <w:p w14:paraId="0A40C0CA" w14:textId="77777777" w:rsidR="005415D2" w:rsidRDefault="005415D2">
            <w:pPr>
              <w:spacing w:after="0" w:line="240" w:lineRule="auto"/>
            </w:pPr>
          </w:p>
        </w:tc>
      </w:tr>
      <w:tr w:rsidR="005415D2" w14:paraId="37911714" w14:textId="77777777">
        <w:tc>
          <w:tcPr>
            <w:tcW w:w="2405" w:type="dxa"/>
            <w:tcBorders>
              <w:top w:val="single" w:sz="4" w:space="0" w:color="auto"/>
              <w:left w:val="single" w:sz="4" w:space="0" w:color="auto"/>
              <w:bottom w:val="single" w:sz="4" w:space="0" w:color="auto"/>
              <w:right w:val="single" w:sz="4" w:space="0" w:color="auto"/>
            </w:tcBorders>
            <w:hideMark/>
          </w:tcPr>
          <w:p w14:paraId="7ED6CB00" w14:textId="77777777" w:rsidR="005415D2" w:rsidRDefault="00083003">
            <w:r>
              <w:t>Tertiary</w:t>
            </w:r>
          </w:p>
        </w:tc>
        <w:tc>
          <w:tcPr>
            <w:tcW w:w="3686" w:type="dxa"/>
            <w:tcBorders>
              <w:top w:val="single" w:sz="4" w:space="0" w:color="auto"/>
              <w:left w:val="single" w:sz="4" w:space="0" w:color="auto"/>
              <w:bottom w:val="single" w:sz="4" w:space="0" w:color="auto"/>
              <w:right w:val="single" w:sz="4" w:space="0" w:color="auto"/>
            </w:tcBorders>
            <w:hideMark/>
          </w:tcPr>
          <w:p w14:paraId="1136A940"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7907C59A"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3A349E7B"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0FB0A024" w14:textId="77777777" w:rsidR="005415D2" w:rsidRDefault="00083003">
            <w:r>
              <w:t>0,00</w:t>
            </w:r>
          </w:p>
          <w:p w14:paraId="05FC3530" w14:textId="77777777" w:rsidR="005415D2" w:rsidRDefault="005415D2">
            <w:pPr>
              <w:spacing w:after="0" w:line="240" w:lineRule="auto"/>
            </w:pPr>
          </w:p>
        </w:tc>
      </w:tr>
      <w:tr w:rsidR="005415D2" w14:paraId="02B22AB9" w14:textId="77777777">
        <w:tc>
          <w:tcPr>
            <w:tcW w:w="2405" w:type="dxa"/>
            <w:tcBorders>
              <w:top w:val="single" w:sz="4" w:space="0" w:color="auto"/>
              <w:left w:val="single" w:sz="4" w:space="0" w:color="auto"/>
              <w:bottom w:val="single" w:sz="4" w:space="0" w:color="auto"/>
              <w:right w:val="single" w:sz="4" w:space="0" w:color="auto"/>
            </w:tcBorders>
            <w:hideMark/>
          </w:tcPr>
          <w:p w14:paraId="542F2D49" w14:textId="77777777" w:rsidR="005415D2" w:rsidRDefault="00083003">
            <w:r>
              <w:t>Primary</w:t>
            </w:r>
          </w:p>
        </w:tc>
        <w:tc>
          <w:tcPr>
            <w:tcW w:w="3686" w:type="dxa"/>
            <w:tcBorders>
              <w:top w:val="single" w:sz="4" w:space="0" w:color="auto"/>
              <w:left w:val="single" w:sz="4" w:space="0" w:color="auto"/>
              <w:bottom w:val="single" w:sz="4" w:space="0" w:color="auto"/>
              <w:right w:val="single" w:sz="4" w:space="0" w:color="auto"/>
            </w:tcBorders>
            <w:hideMark/>
          </w:tcPr>
          <w:p w14:paraId="30E92D40" w14:textId="77777777" w:rsidR="005415D2" w:rsidRDefault="00083003">
            <w:r>
              <w:t>29,00</w:t>
            </w:r>
          </w:p>
        </w:tc>
        <w:tc>
          <w:tcPr>
            <w:tcW w:w="3537" w:type="dxa"/>
            <w:tcBorders>
              <w:top w:val="single" w:sz="4" w:space="0" w:color="auto"/>
              <w:left w:val="single" w:sz="4" w:space="0" w:color="auto"/>
              <w:bottom w:val="single" w:sz="4" w:space="0" w:color="auto"/>
              <w:right w:val="single" w:sz="4" w:space="0" w:color="auto"/>
            </w:tcBorders>
            <w:hideMark/>
          </w:tcPr>
          <w:p w14:paraId="7C79C105" w14:textId="77777777" w:rsidR="005415D2" w:rsidRDefault="00083003">
            <w:r>
              <w:t>71,00</w:t>
            </w:r>
          </w:p>
        </w:tc>
        <w:tc>
          <w:tcPr>
            <w:tcW w:w="3537" w:type="dxa"/>
            <w:tcBorders>
              <w:top w:val="single" w:sz="4" w:space="0" w:color="auto"/>
              <w:left w:val="single" w:sz="4" w:space="0" w:color="auto"/>
              <w:bottom w:val="single" w:sz="4" w:space="0" w:color="auto"/>
              <w:right w:val="single" w:sz="4" w:space="0" w:color="auto"/>
            </w:tcBorders>
            <w:hideMark/>
          </w:tcPr>
          <w:p w14:paraId="65EED5AC"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1688273D" w14:textId="77777777" w:rsidR="005415D2" w:rsidRDefault="00083003">
            <w:r>
              <w:t>0,00</w:t>
            </w:r>
          </w:p>
          <w:p w14:paraId="00561D64" w14:textId="77777777" w:rsidR="005415D2" w:rsidRDefault="005415D2">
            <w:pPr>
              <w:spacing w:after="0" w:line="240" w:lineRule="auto"/>
            </w:pPr>
          </w:p>
        </w:tc>
      </w:tr>
      <w:tr w:rsidR="005415D2" w14:paraId="2AD0CD40" w14:textId="77777777">
        <w:tc>
          <w:tcPr>
            <w:tcW w:w="2405" w:type="dxa"/>
            <w:tcBorders>
              <w:top w:val="single" w:sz="4" w:space="0" w:color="auto"/>
              <w:left w:val="single" w:sz="4" w:space="0" w:color="auto"/>
              <w:bottom w:val="single" w:sz="4" w:space="0" w:color="auto"/>
              <w:right w:val="single" w:sz="4" w:space="0" w:color="auto"/>
            </w:tcBorders>
            <w:hideMark/>
          </w:tcPr>
          <w:p w14:paraId="081DA0D4" w14:textId="77777777" w:rsidR="005415D2" w:rsidRDefault="00083003">
            <w:r>
              <w:t>Other</w:t>
            </w:r>
          </w:p>
        </w:tc>
        <w:tc>
          <w:tcPr>
            <w:tcW w:w="3686" w:type="dxa"/>
            <w:tcBorders>
              <w:top w:val="single" w:sz="4" w:space="0" w:color="auto"/>
              <w:left w:val="single" w:sz="4" w:space="0" w:color="auto"/>
              <w:bottom w:val="single" w:sz="4" w:space="0" w:color="auto"/>
              <w:right w:val="single" w:sz="4" w:space="0" w:color="auto"/>
            </w:tcBorders>
            <w:hideMark/>
          </w:tcPr>
          <w:p w14:paraId="73AF878B"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2FEFD5B2"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1EE5E90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75288EF2" w14:textId="77777777" w:rsidR="005415D2" w:rsidRDefault="00083003">
            <w:r>
              <w:t>0,00</w:t>
            </w:r>
          </w:p>
          <w:p w14:paraId="3000D3F9" w14:textId="77777777" w:rsidR="005415D2" w:rsidRDefault="005415D2">
            <w:pPr>
              <w:spacing w:after="0" w:line="240" w:lineRule="auto"/>
            </w:pPr>
          </w:p>
        </w:tc>
      </w:tr>
    </w:tbl>
    <w:p w14:paraId="7792062C" w14:textId="3C0F879C" w:rsidR="005415D2" w:rsidRDefault="00083003" w:rsidP="00AF3063">
      <w:pPr>
        <w:pStyle w:val="Heading1"/>
      </w:pPr>
      <w:bookmarkStart w:id="9" w:name="_Toc397674999"/>
      <w:bookmarkStart w:id="10" w:name="_Toc412646201"/>
      <w:bookmarkStart w:id="11" w:name="_Toc63846078"/>
      <w:r>
        <w:lastRenderedPageBreak/>
        <w:t>Requirement for a Supply Base Evaluation</w:t>
      </w:r>
      <w:bookmarkEnd w:id="9"/>
      <w:bookmarkEnd w:id="10"/>
      <w:bookmarkEnd w:id="11"/>
    </w:p>
    <w:p w14:paraId="3803CE94" w14:textId="77777777" w:rsidR="005415D2" w:rsidRDefault="00083003">
      <w:pPr>
        <w:rPr>
          <w:b/>
          <w:bCs/>
        </w:rPr>
      </w:pPr>
      <w:r>
        <w:rPr>
          <w:b/>
          <w:bCs/>
        </w:rPr>
        <w:t xml:space="preserve">Is Supply Base Evaluation (SBE) is completed? </w:t>
      </w:r>
      <w:r>
        <w:t>Yes</w:t>
      </w:r>
    </w:p>
    <w:p w14:paraId="6D690122" w14:textId="77777777" w:rsidR="00000000" w:rsidRDefault="00131D2D">
      <w:pPr>
        <w:spacing w:line="260" w:lineRule="atLeast"/>
        <w:divId w:val="660504359"/>
        <w:rPr>
          <w:rFonts w:eastAsia="Times New Roman" w:cs="Arial"/>
          <w:spacing w:val="1"/>
        </w:rPr>
      </w:pPr>
      <w:r>
        <w:rPr>
          <w:rFonts w:eastAsia="Times New Roman" w:cs="Arial"/>
          <w:spacing w:val="1"/>
        </w:rPr>
        <w:t> </w:t>
      </w:r>
    </w:p>
    <w:p w14:paraId="705D69DD" w14:textId="77777777" w:rsidR="00000000" w:rsidRDefault="00131D2D" w:rsidP="00131D2D">
      <w:pPr>
        <w:spacing w:line="260" w:lineRule="atLeast"/>
        <w:jc w:val="both"/>
        <w:divId w:val="793715352"/>
        <w:rPr>
          <w:rFonts w:eastAsia="Times New Roman" w:cs="Arial"/>
          <w:spacing w:val="1"/>
        </w:rPr>
      </w:pPr>
      <w:r>
        <w:rPr>
          <w:rFonts w:eastAsia="Times New Roman" w:cs="Arial"/>
          <w:spacing w:val="1"/>
        </w:rPr>
        <w:t xml:space="preserve">The Supply Base Evaluation (SBE) is applicable for feedstock sourced in Lithuania. Because </w:t>
      </w:r>
      <w:proofErr w:type="spellStart"/>
      <w:r>
        <w:rPr>
          <w:rFonts w:eastAsia="Times New Roman" w:cs="Arial"/>
          <w:spacing w:val="1"/>
        </w:rPr>
        <w:t>Pusbroliai</w:t>
      </w:r>
      <w:proofErr w:type="spellEnd"/>
      <w:r>
        <w:rPr>
          <w:rFonts w:eastAsia="Times New Roman" w:cs="Arial"/>
          <w:spacing w:val="1"/>
        </w:rPr>
        <w:t xml:space="preserve"> UAB is buying from different sources, that are not all FSC certified </w:t>
      </w:r>
      <w:r>
        <w:rPr>
          <w:rFonts w:eastAsia="Times New Roman" w:cs="Arial"/>
          <w:spacing w:val="1"/>
        </w:rPr>
        <w:t xml:space="preserve">and </w:t>
      </w:r>
      <w:proofErr w:type="gramStart"/>
      <w:r>
        <w:rPr>
          <w:rFonts w:eastAsia="Times New Roman" w:cs="Arial"/>
          <w:spacing w:val="1"/>
        </w:rPr>
        <w:t>in order to</w:t>
      </w:r>
      <w:proofErr w:type="gramEnd"/>
      <w:r>
        <w:rPr>
          <w:rFonts w:eastAsia="Times New Roman" w:cs="Arial"/>
          <w:spacing w:val="1"/>
        </w:rPr>
        <w:t xml:space="preserve"> produce SBP compliant wood chips from this supply base the SBE is necessary. There is thus of a supply base and this require a detailed evaluation to identify the risk, and to mitigate them</w:t>
      </w:r>
      <w:r>
        <w:rPr>
          <w:rFonts w:eastAsia="Times New Roman" w:cs="Arial"/>
          <w:spacing w:val="1"/>
        </w:rPr>
        <w:t>.</w:t>
      </w:r>
    </w:p>
    <w:p w14:paraId="26BDCC30" w14:textId="618C79B2" w:rsidR="005415D2" w:rsidRDefault="00083003" w:rsidP="00AF3063">
      <w:pPr>
        <w:pStyle w:val="Heading1"/>
      </w:pPr>
      <w:bookmarkStart w:id="12" w:name="_Toc63846079"/>
      <w:r>
        <w:lastRenderedPageBreak/>
        <w:t>Supply Base Evaluation</w:t>
      </w:r>
      <w:bookmarkEnd w:id="12"/>
    </w:p>
    <w:p w14:paraId="5A4F1B23" w14:textId="2DDF4128" w:rsidR="005415D2" w:rsidRPr="000C27C4" w:rsidRDefault="00083003" w:rsidP="000C27C4">
      <w:pPr>
        <w:pStyle w:val="Heading2"/>
      </w:pPr>
      <w:bookmarkStart w:id="13" w:name="_Toc63846080"/>
      <w:r w:rsidRPr="000C27C4">
        <w:t>Scope</w:t>
      </w:r>
      <w:bookmarkEnd w:id="13"/>
    </w:p>
    <w:p w14:paraId="27D0F56B" w14:textId="77777777" w:rsidR="005415D2" w:rsidRPr="000C27C4" w:rsidRDefault="00083003">
      <w:pPr>
        <w:rPr>
          <w:rFonts w:cs="Arial"/>
        </w:rPr>
      </w:pPr>
      <w:r w:rsidRPr="000C27C4">
        <w:rPr>
          <w:rFonts w:cs="Arial"/>
          <w:b/>
          <w:bCs/>
          <w:iCs/>
        </w:rPr>
        <w:t>Feedstock types included in SBE:</w:t>
      </w:r>
      <w:r w:rsidRPr="000C27C4">
        <w:rPr>
          <w:rFonts w:cs="Arial"/>
        </w:rPr>
        <w:t xml:space="preserve"> Primary, Secondary</w:t>
      </w:r>
    </w:p>
    <w:p w14:paraId="1663CC56" w14:textId="77777777" w:rsidR="005415D2" w:rsidRPr="000C27C4" w:rsidRDefault="00083003">
      <w:pPr>
        <w:rPr>
          <w:rFonts w:cs="Arial"/>
        </w:rPr>
      </w:pPr>
      <w:r w:rsidRPr="000C27C4">
        <w:rPr>
          <w:rFonts w:cs="Arial"/>
          <w:b/>
          <w:bCs/>
          <w:iCs/>
        </w:rPr>
        <w:t>SBP-endorsed Regional Risk Assessments used</w:t>
      </w:r>
      <w:r w:rsidRPr="000C27C4">
        <w:rPr>
          <w:rFonts w:cs="Arial"/>
        </w:rPr>
        <w:t>: Lithuania, Latvia</w:t>
      </w:r>
    </w:p>
    <w:p w14:paraId="0DA2B724" w14:textId="77777777" w:rsidR="005415D2" w:rsidRPr="000C27C4" w:rsidRDefault="00083003">
      <w:pPr>
        <w:rPr>
          <w:rFonts w:cs="Arial"/>
          <w:i/>
          <w:iCs/>
          <w:lang w:val="en-US"/>
        </w:rPr>
      </w:pPr>
      <w:r w:rsidRPr="000C27C4">
        <w:rPr>
          <w:rFonts w:cs="Arial"/>
          <w:b/>
          <w:bCs/>
          <w:iCs/>
        </w:rPr>
        <w:t xml:space="preserve">List of countries and regions included in the SBE: </w:t>
      </w:r>
    </w:p>
    <w:p w14:paraId="3658A6E3" w14:textId="718EA1F5" w:rsidR="005415D2" w:rsidRDefault="00083003">
      <w:pPr>
        <w:spacing w:after="0" w:line="240" w:lineRule="auto"/>
        <w:rPr>
          <w:rFonts w:cs="Arial"/>
          <w:lang w:val="en-US" w:eastAsia="nl-NL"/>
        </w:rPr>
      </w:pPr>
      <w:r w:rsidRPr="005B5CFF">
        <w:rPr>
          <w:rFonts w:cs="Arial"/>
          <w:lang w:val="en-US" w:eastAsia="nl-NL"/>
        </w:rPr>
        <w:t xml:space="preserve"> </w:t>
      </w:r>
    </w:p>
    <w:p w14:paraId="07E82CDE" w14:textId="77777777" w:rsidR="0059791E" w:rsidRPr="005B5CFF" w:rsidRDefault="0059791E">
      <w:pPr>
        <w:spacing w:after="0" w:line="240" w:lineRule="auto"/>
        <w:rPr>
          <w:rFonts w:cs="Arial"/>
          <w:lang w:val="en-US" w:eastAsia="nl-NL"/>
        </w:rPr>
      </w:pPr>
    </w:p>
    <w:p w14:paraId="02071EE5" w14:textId="5222802C"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Lithuania</w:t>
      </w:r>
    </w:p>
    <w:p w14:paraId="6D6F2EAB" w14:textId="2B20B583"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6638F528" w14:textId="48D34E49" w:rsidR="005415D2" w:rsidRPr="000C27C4" w:rsidRDefault="00083003" w:rsidP="00131D2D">
      <w:pPr>
        <w:jc w:val="both"/>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p w14:paraId="3E6F89DB" w14:textId="20E0261A"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1D9EE54C" w14:textId="77777777" w:rsidR="00000000" w:rsidRDefault="00131D2D">
      <w:pPr>
        <w:spacing w:line="260" w:lineRule="atLeast"/>
        <w:divId w:val="1253201676"/>
        <w:rPr>
          <w:rFonts w:eastAsia="Times New Roman" w:cs="Arial"/>
          <w:spacing w:val="1"/>
        </w:rPr>
      </w:pPr>
      <w:r>
        <w:rPr>
          <w:rFonts w:eastAsia="Times New Roman" w:cs="Arial"/>
          <w:spacing w:val="1"/>
        </w:rPr>
        <w:t>Specified risk. Indicator 2.1.2 related to areas with WKH - woodland key habitats. </w:t>
      </w:r>
    </w:p>
    <w:p w14:paraId="58DC0BD5"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73CF471C" w14:textId="77777777" w:rsidR="0059791E" w:rsidRPr="005B5CFF" w:rsidRDefault="0059791E">
      <w:pPr>
        <w:spacing w:after="0" w:line="240" w:lineRule="auto"/>
        <w:rPr>
          <w:rFonts w:cs="Arial"/>
          <w:lang w:val="en-US" w:eastAsia="nl-NL"/>
        </w:rPr>
      </w:pPr>
    </w:p>
    <w:p w14:paraId="71E7E758"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Lithuania</w:t>
      </w:r>
    </w:p>
    <w:p w14:paraId="68A303A4"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50CFA157" w14:textId="77777777" w:rsidR="005415D2" w:rsidRPr="000C27C4" w:rsidRDefault="00083003" w:rsidP="00131D2D">
      <w:pPr>
        <w:jc w:val="both"/>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p w14:paraId="486D5C9F"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0AF5CB81" w14:textId="77777777" w:rsidR="00000000" w:rsidRDefault="00131D2D">
      <w:pPr>
        <w:spacing w:line="260" w:lineRule="atLeast"/>
        <w:divId w:val="646327025"/>
        <w:rPr>
          <w:rFonts w:eastAsia="Times New Roman" w:cs="Arial"/>
          <w:spacing w:val="1"/>
        </w:rPr>
      </w:pPr>
      <w:r>
        <w:rPr>
          <w:rFonts w:eastAsia="Times New Roman" w:cs="Arial"/>
          <w:spacing w:val="1"/>
        </w:rPr>
        <w:t>Specified risk. Indicator 2.8.1 related to health and safety of forestry workers.</w:t>
      </w:r>
    </w:p>
    <w:p w14:paraId="128CD1AF"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0CBEBDA1" w14:textId="77777777" w:rsidR="005415D2" w:rsidRPr="000C27C4" w:rsidRDefault="005415D2">
      <w:pPr>
        <w:rPr>
          <w:rFonts w:cs="Arial"/>
          <w:b/>
          <w:bCs/>
          <w:iCs/>
        </w:rPr>
      </w:pPr>
    </w:p>
    <w:p w14:paraId="0C7D7566" w14:textId="11BC8656" w:rsidR="005415D2" w:rsidRDefault="00083003" w:rsidP="000C27C4">
      <w:pPr>
        <w:pStyle w:val="Heading2"/>
      </w:pPr>
      <w:bookmarkStart w:id="14" w:name="_Toc412646204"/>
      <w:bookmarkStart w:id="15" w:name="_Toc63846081"/>
      <w:r>
        <w:t>Justification</w:t>
      </w:r>
      <w:bookmarkEnd w:id="14"/>
      <w:bookmarkEnd w:id="15"/>
    </w:p>
    <w:p w14:paraId="47EE9D5E" w14:textId="77777777" w:rsidR="00000000" w:rsidRDefault="00131D2D" w:rsidP="00131D2D">
      <w:pPr>
        <w:spacing w:line="260" w:lineRule="atLeast"/>
        <w:jc w:val="both"/>
        <w:divId w:val="123083500"/>
        <w:rPr>
          <w:rFonts w:eastAsia="Times New Roman" w:cs="Arial"/>
          <w:spacing w:val="1"/>
        </w:rPr>
      </w:pPr>
      <w:r>
        <w:rPr>
          <w:rFonts w:eastAsia="Times New Roman" w:cs="Arial"/>
          <w:spacing w:val="1"/>
        </w:rPr>
        <w:t xml:space="preserve">The basis of the provisions of agreements concluded by </w:t>
      </w:r>
      <w:proofErr w:type="spellStart"/>
      <w:r>
        <w:rPr>
          <w:rFonts w:eastAsia="Times New Roman" w:cs="Arial"/>
          <w:spacing w:val="1"/>
        </w:rPr>
        <w:t>Pusbroliai</w:t>
      </w:r>
      <w:proofErr w:type="spellEnd"/>
      <w:r>
        <w:rPr>
          <w:rFonts w:eastAsia="Times New Roman" w:cs="Arial"/>
          <w:spacing w:val="1"/>
        </w:rPr>
        <w:t xml:space="preserve"> </w:t>
      </w:r>
      <w:proofErr w:type="gramStart"/>
      <w:r>
        <w:rPr>
          <w:rFonts w:eastAsia="Times New Roman" w:cs="Arial"/>
          <w:spacing w:val="1"/>
        </w:rPr>
        <w:t>UAB  with</w:t>
      </w:r>
      <w:proofErr w:type="gramEnd"/>
      <w:r>
        <w:rPr>
          <w:rFonts w:eastAsia="Times New Roman" w:cs="Arial"/>
          <w:spacing w:val="1"/>
        </w:rPr>
        <w:t xml:space="preserve"> biomass and wood  </w:t>
      </w:r>
      <w:r>
        <w:rPr>
          <w:rFonts w:eastAsia="Times New Roman" w:cs="Arial"/>
          <w:spacing w:val="1"/>
        </w:rPr>
        <w:t>buyers is the supply of SBP-compliant products. Therefore, the decision of the company management is to design SBE risk minimization measures and to implement the highest social and environmental standards, cooperate with suppliers, attract experts to excl</w:t>
      </w:r>
      <w:r>
        <w:rPr>
          <w:rFonts w:eastAsia="Times New Roman" w:cs="Arial"/>
          <w:spacing w:val="1"/>
        </w:rPr>
        <w:t>ude the purchase of wood that does not meet the SBP-certified product status.</w:t>
      </w:r>
    </w:p>
    <w:p w14:paraId="2817FDB6" w14:textId="77777777" w:rsidR="00000000" w:rsidRDefault="00131D2D" w:rsidP="00131D2D">
      <w:pPr>
        <w:spacing w:line="260" w:lineRule="atLeast"/>
        <w:jc w:val="both"/>
        <w:divId w:val="1062483046"/>
        <w:rPr>
          <w:rFonts w:eastAsia="Times New Roman" w:cs="Arial"/>
          <w:spacing w:val="1"/>
        </w:rPr>
      </w:pPr>
      <w:r>
        <w:rPr>
          <w:rFonts w:eastAsia="Times New Roman" w:cs="Arial"/>
          <w:spacing w:val="1"/>
        </w:rPr>
        <w:t>SBP endorsed SBP Regional Risks Assessments have been developed in accordance with SBP standard assessing the risk category for Lithuania as well as for each SBP indicator. Throu</w:t>
      </w:r>
      <w:r>
        <w:rPr>
          <w:rFonts w:eastAsia="Times New Roman" w:cs="Arial"/>
          <w:spacing w:val="1"/>
        </w:rPr>
        <w:t>gh reviewing and assessing the risk, the company acquired an in-depth understanding of the wood supply risks that could affect the acceptance of SBP non-compliant material for biomass production. </w:t>
      </w:r>
    </w:p>
    <w:p w14:paraId="3B6CEB6F" w14:textId="77777777" w:rsidR="00000000" w:rsidRDefault="00131D2D" w:rsidP="00131D2D">
      <w:pPr>
        <w:spacing w:line="260" w:lineRule="atLeast"/>
        <w:jc w:val="both"/>
        <w:divId w:val="1451244171"/>
        <w:rPr>
          <w:rFonts w:eastAsia="Times New Roman" w:cs="Arial"/>
          <w:spacing w:val="1"/>
        </w:rPr>
      </w:pPr>
      <w:r>
        <w:rPr>
          <w:rFonts w:eastAsia="Times New Roman" w:cs="Arial"/>
          <w:spacing w:val="1"/>
        </w:rPr>
        <w:t xml:space="preserve">The evaluation process </w:t>
      </w:r>
      <w:proofErr w:type="gramStart"/>
      <w:r>
        <w:rPr>
          <w:rFonts w:eastAsia="Times New Roman" w:cs="Arial"/>
          <w:spacing w:val="1"/>
        </w:rPr>
        <w:t>use</w:t>
      </w:r>
      <w:proofErr w:type="gramEnd"/>
      <w:r>
        <w:rPr>
          <w:rFonts w:eastAsia="Times New Roman" w:cs="Arial"/>
          <w:spacing w:val="1"/>
        </w:rPr>
        <w:t xml:space="preserve"> the SBP endorsed risk assessment</w:t>
      </w:r>
      <w:r>
        <w:rPr>
          <w:rFonts w:eastAsia="Times New Roman" w:cs="Arial"/>
          <w:spacing w:val="1"/>
        </w:rPr>
        <w:t xml:space="preserve"> for LT (indicators 2.1.2., 2.8.1.). </w:t>
      </w:r>
      <w:proofErr w:type="spellStart"/>
      <w:r>
        <w:rPr>
          <w:rFonts w:eastAsia="Times New Roman" w:cs="Arial"/>
          <w:spacing w:val="1"/>
        </w:rPr>
        <w:t>Pusbroliai</w:t>
      </w:r>
      <w:proofErr w:type="spellEnd"/>
      <w:r>
        <w:rPr>
          <w:rFonts w:eastAsia="Times New Roman" w:cs="Arial"/>
          <w:spacing w:val="1"/>
        </w:rPr>
        <w:t xml:space="preserve"> UAB agrees with all findings, conclusions and mitigation measures set out in the reports.</w:t>
      </w:r>
    </w:p>
    <w:p w14:paraId="5C90E3A1" w14:textId="77777777" w:rsidR="00000000" w:rsidRDefault="00131D2D">
      <w:pPr>
        <w:spacing w:line="260" w:lineRule="atLeast"/>
        <w:divId w:val="123083500"/>
        <w:rPr>
          <w:rFonts w:eastAsia="Times New Roman" w:cs="Arial"/>
          <w:spacing w:val="1"/>
        </w:rPr>
      </w:pPr>
    </w:p>
    <w:p w14:paraId="571F3ED9" w14:textId="7F850455" w:rsidR="005415D2" w:rsidRDefault="00083003" w:rsidP="000C27C4">
      <w:pPr>
        <w:pStyle w:val="Heading2"/>
      </w:pPr>
      <w:bookmarkStart w:id="16" w:name="_Toc412646205"/>
      <w:bookmarkStart w:id="17" w:name="_Toc63846082"/>
      <w:r>
        <w:lastRenderedPageBreak/>
        <w:t xml:space="preserve">Results of </w:t>
      </w:r>
      <w:r w:rsidR="007A2025">
        <w:t>r</w:t>
      </w:r>
      <w:r>
        <w:t xml:space="preserve">isk </w:t>
      </w:r>
      <w:r w:rsidR="007A2025">
        <w:t>a</w:t>
      </w:r>
      <w:r>
        <w:t>ssessment and Supplier Verification Programme</w:t>
      </w:r>
      <w:bookmarkEnd w:id="16"/>
      <w:bookmarkEnd w:id="17"/>
    </w:p>
    <w:p w14:paraId="0E92FF6D" w14:textId="77777777" w:rsidR="00000000" w:rsidRDefault="00131D2D" w:rsidP="00131D2D">
      <w:pPr>
        <w:spacing w:line="260" w:lineRule="atLeast"/>
        <w:jc w:val="both"/>
        <w:divId w:val="1031370953"/>
        <w:rPr>
          <w:rFonts w:eastAsia="Times New Roman" w:cs="Arial"/>
          <w:spacing w:val="1"/>
        </w:rPr>
      </w:pPr>
      <w:r>
        <w:rPr>
          <w:rFonts w:eastAsia="Times New Roman" w:cs="Arial"/>
          <w:spacing w:val="1"/>
        </w:rPr>
        <w:t xml:space="preserve">The risk assessment analysis includes the requirements provided by the laws and regulations of the Republic of Lithuania, regulatory </w:t>
      </w:r>
      <w:r>
        <w:rPr>
          <w:rFonts w:eastAsia="Times New Roman" w:cs="Arial"/>
          <w:spacing w:val="1"/>
        </w:rPr>
        <w:t>activities of the State legislation and laws and regulations for primary and secondary wood supply from the Lithuania forest properties and protected areas.</w:t>
      </w:r>
      <w:r>
        <w:rPr>
          <w:rFonts w:eastAsia="Times New Roman" w:cs="Arial"/>
          <w:spacing w:val="1"/>
        </w:rPr>
        <w:t xml:space="preserve"> </w:t>
      </w:r>
    </w:p>
    <w:p w14:paraId="385DB1EB" w14:textId="77777777" w:rsidR="00000000" w:rsidRDefault="00131D2D" w:rsidP="00131D2D">
      <w:pPr>
        <w:spacing w:line="260" w:lineRule="atLeast"/>
        <w:jc w:val="both"/>
        <w:divId w:val="1619415556"/>
        <w:rPr>
          <w:rFonts w:eastAsia="Times New Roman" w:cs="Arial"/>
          <w:spacing w:val="1"/>
        </w:rPr>
      </w:pPr>
      <w:r>
        <w:rPr>
          <w:rFonts w:eastAsia="Times New Roman" w:cs="Arial"/>
          <w:spacing w:val="1"/>
        </w:rPr>
        <w:t xml:space="preserve">Considering the specific character of Lithuania and expert advices and recommendations "Specified </w:t>
      </w:r>
      <w:r>
        <w:rPr>
          <w:rFonts w:eastAsia="Times New Roman" w:cs="Arial"/>
          <w:spacing w:val="1"/>
        </w:rPr>
        <w:t>risk" was applied to</w:t>
      </w:r>
      <w:r>
        <w:rPr>
          <w:rFonts w:eastAsia="Times New Roman" w:cs="Arial"/>
          <w:spacing w:val="1"/>
        </w:rPr>
        <w:t>:</w:t>
      </w:r>
    </w:p>
    <w:p w14:paraId="7D7F5C7C" w14:textId="77777777" w:rsidR="00000000" w:rsidRDefault="00131D2D" w:rsidP="00131D2D">
      <w:pPr>
        <w:spacing w:line="260" w:lineRule="atLeast"/>
        <w:jc w:val="both"/>
        <w:divId w:val="102530891"/>
        <w:rPr>
          <w:rFonts w:eastAsia="Times New Roman" w:cs="Arial"/>
          <w:spacing w:val="1"/>
        </w:rPr>
      </w:pPr>
      <w:r>
        <w:rPr>
          <w:rFonts w:eastAsia="Times New Roman" w:cs="Arial"/>
          <w:spacing w:val="1"/>
        </w:rPr>
        <w:t>2.1.2 – Potential threats to forests and other areas with high conservation values from forest management activities are identified and addressed (HCV category 3)</w:t>
      </w:r>
      <w:r>
        <w:rPr>
          <w:rFonts w:eastAsia="Times New Roman" w:cs="Arial"/>
          <w:spacing w:val="1"/>
        </w:rPr>
        <w:t>.</w:t>
      </w:r>
    </w:p>
    <w:p w14:paraId="1A0BF244" w14:textId="77777777" w:rsidR="00000000" w:rsidRDefault="00131D2D">
      <w:pPr>
        <w:spacing w:line="260" w:lineRule="atLeast"/>
        <w:divId w:val="430665036"/>
        <w:rPr>
          <w:rFonts w:eastAsia="Times New Roman" w:cs="Arial"/>
          <w:spacing w:val="1"/>
        </w:rPr>
      </w:pPr>
      <w:r>
        <w:rPr>
          <w:rFonts w:eastAsia="Times New Roman" w:cs="Arial"/>
          <w:spacing w:val="1"/>
        </w:rPr>
        <w:t xml:space="preserve">2.8.1 - Appropriate safeguards are put in place to protect the health </w:t>
      </w:r>
      <w:r>
        <w:rPr>
          <w:rFonts w:eastAsia="Times New Roman" w:cs="Arial"/>
          <w:spacing w:val="1"/>
        </w:rPr>
        <w:t>and safety of forest workers.</w:t>
      </w:r>
    </w:p>
    <w:p w14:paraId="5759DFDC" w14:textId="77777777" w:rsidR="00000000" w:rsidRDefault="00131D2D" w:rsidP="00131D2D">
      <w:pPr>
        <w:spacing w:line="260" w:lineRule="atLeast"/>
        <w:jc w:val="both"/>
        <w:divId w:val="599334994"/>
        <w:rPr>
          <w:rFonts w:eastAsia="Times New Roman" w:cs="Arial"/>
          <w:spacing w:val="1"/>
        </w:rPr>
      </w:pPr>
      <w:r>
        <w:rPr>
          <w:rFonts w:eastAsia="Times New Roman" w:cs="Arial"/>
          <w:spacing w:val="1"/>
        </w:rPr>
        <w:t xml:space="preserve">The information obtained during risk assessment from both the legislative and the physical information verification on site on all SBE risk categories has confirmed that “Specific risk” are applicable to 2 categories: biotope </w:t>
      </w:r>
      <w:r>
        <w:rPr>
          <w:rFonts w:eastAsia="Times New Roman" w:cs="Arial"/>
          <w:spacing w:val="1"/>
        </w:rPr>
        <w:t>protection (HCV category) and work safety, whereas the risk for other categories is low. </w:t>
      </w:r>
    </w:p>
    <w:p w14:paraId="2DEDEDDD" w14:textId="77777777" w:rsidR="00000000" w:rsidRDefault="00131D2D" w:rsidP="00131D2D">
      <w:pPr>
        <w:spacing w:line="260" w:lineRule="atLeast"/>
        <w:jc w:val="both"/>
        <w:divId w:val="27991915"/>
        <w:rPr>
          <w:rFonts w:eastAsia="Times New Roman" w:cs="Arial"/>
          <w:spacing w:val="1"/>
        </w:rPr>
      </w:pPr>
      <w:r>
        <w:rPr>
          <w:rFonts w:eastAsia="Times New Roman" w:cs="Arial"/>
          <w:spacing w:val="1"/>
        </w:rPr>
        <w:t>Risk evaluation and mitigation actions for primary feedstock about WKH can be done at the database and compliance with work safety demands shall be based on audits at</w:t>
      </w:r>
      <w:r>
        <w:rPr>
          <w:rFonts w:eastAsia="Times New Roman" w:cs="Arial"/>
          <w:spacing w:val="1"/>
        </w:rPr>
        <w:t xml:space="preserve"> forest management units. Secondary feedstock approval is possible only for that processors who have rough wood suppliers, which correspond to Risk mitigation requirements and who agreed to cooperate for the purpose of evaluation and mitigation of risks on</w:t>
      </w:r>
      <w:r>
        <w:rPr>
          <w:rFonts w:eastAsia="Times New Roman" w:cs="Arial"/>
          <w:spacing w:val="1"/>
        </w:rPr>
        <w:t xml:space="preserve"> their processing places before processing the wood.</w:t>
      </w:r>
    </w:p>
    <w:p w14:paraId="1BCB0331" w14:textId="77777777" w:rsidR="00000000" w:rsidRDefault="00131D2D" w:rsidP="00131D2D">
      <w:pPr>
        <w:spacing w:line="260" w:lineRule="atLeast"/>
        <w:jc w:val="both"/>
        <w:divId w:val="1353527435"/>
        <w:rPr>
          <w:rFonts w:eastAsia="Times New Roman" w:cs="Arial"/>
          <w:spacing w:val="1"/>
        </w:rPr>
      </w:pPr>
      <w:r>
        <w:rPr>
          <w:rFonts w:eastAsia="Times New Roman" w:cs="Arial"/>
          <w:spacing w:val="1"/>
        </w:rPr>
        <w:t>Supplier testing programme and selection criteria are described in the company SBE system procedure. General description of the testing programme:</w:t>
      </w:r>
      <w:r>
        <w:rPr>
          <w:rFonts w:eastAsia="Times New Roman" w:cs="Arial"/>
          <w:spacing w:val="1"/>
        </w:rPr>
        <w:t xml:space="preserve"> </w:t>
      </w:r>
    </w:p>
    <w:p w14:paraId="5646225A" w14:textId="77777777" w:rsidR="00000000" w:rsidRDefault="00131D2D" w:rsidP="00131D2D">
      <w:pPr>
        <w:spacing w:line="260" w:lineRule="atLeast"/>
        <w:jc w:val="both"/>
        <w:divId w:val="1289124277"/>
        <w:rPr>
          <w:rFonts w:eastAsia="Times New Roman" w:cs="Arial"/>
          <w:spacing w:val="1"/>
        </w:rPr>
      </w:pPr>
      <w:r>
        <w:rPr>
          <w:rFonts w:eastAsia="Times New Roman" w:cs="Arial"/>
          <w:spacing w:val="1"/>
        </w:rPr>
        <w:t>·   All supplies of primary feedstock submit informatio</w:t>
      </w:r>
      <w:r>
        <w:rPr>
          <w:rFonts w:eastAsia="Times New Roman" w:cs="Arial"/>
          <w:spacing w:val="1"/>
        </w:rPr>
        <w:t xml:space="preserve">n on the properties planned for logging, additional documents, and the volumes supplied are tested </w:t>
      </w:r>
      <w:proofErr w:type="gramStart"/>
      <w:r>
        <w:rPr>
          <w:rFonts w:eastAsia="Times New Roman" w:cs="Arial"/>
          <w:spacing w:val="1"/>
        </w:rPr>
        <w:t>at the moment</w:t>
      </w:r>
      <w:proofErr w:type="gramEnd"/>
      <w:r>
        <w:rPr>
          <w:rFonts w:eastAsia="Times New Roman" w:cs="Arial"/>
          <w:spacing w:val="1"/>
        </w:rPr>
        <w:t xml:space="preserve"> of delivery according to available databases to identify risks (material do not originate from areas with WKH or Protected Areas).</w:t>
      </w:r>
      <w:r>
        <w:rPr>
          <w:rFonts w:eastAsia="Times New Roman" w:cs="Arial"/>
          <w:spacing w:val="1"/>
        </w:rPr>
        <w:t xml:space="preserve"> </w:t>
      </w:r>
    </w:p>
    <w:p w14:paraId="5BA0AF56" w14:textId="77777777" w:rsidR="00000000" w:rsidRDefault="00131D2D" w:rsidP="00131D2D">
      <w:pPr>
        <w:spacing w:line="260" w:lineRule="atLeast"/>
        <w:jc w:val="both"/>
        <w:divId w:val="917640760"/>
        <w:rPr>
          <w:rFonts w:eastAsia="Times New Roman" w:cs="Arial"/>
          <w:spacing w:val="1"/>
        </w:rPr>
      </w:pPr>
      <w:r>
        <w:rPr>
          <w:rFonts w:eastAsia="Times New Roman" w:cs="Arial"/>
          <w:spacing w:val="1"/>
        </w:rPr>
        <w:t>·      Seco</w:t>
      </w:r>
      <w:r>
        <w:rPr>
          <w:rFonts w:eastAsia="Times New Roman" w:cs="Arial"/>
          <w:spacing w:val="1"/>
        </w:rPr>
        <w:t xml:space="preserve">ndary feedstock (wood chips, sawdust from sawmill) suppliers shall have all supplies of their feedstock corresponding to the FSC or PEFC Controlled Wood requirements. They shall track the origin of all their feedstock supplies and gather documentary </w:t>
      </w:r>
      <w:proofErr w:type="gramStart"/>
      <w:r>
        <w:rPr>
          <w:rFonts w:eastAsia="Times New Roman" w:cs="Arial"/>
          <w:spacing w:val="1"/>
        </w:rPr>
        <w:t>eviden</w:t>
      </w:r>
      <w:r>
        <w:rPr>
          <w:rFonts w:eastAsia="Times New Roman" w:cs="Arial"/>
          <w:spacing w:val="1"/>
        </w:rPr>
        <w:t>ces</w:t>
      </w:r>
      <w:proofErr w:type="gramEnd"/>
      <w:r>
        <w:rPr>
          <w:rFonts w:eastAsia="Times New Roman" w:cs="Arial"/>
          <w:spacing w:val="1"/>
        </w:rPr>
        <w:t xml:space="preserve"> correspondingly. During the audit 1 case is selected by chance and the supply base is traced according to the documents. When the supply base is identified, the forest or out of forest site’s owner is contacted and the loggers </w:t>
      </w:r>
      <w:proofErr w:type="gramStart"/>
      <w:r>
        <w:rPr>
          <w:rFonts w:eastAsia="Times New Roman" w:cs="Arial"/>
          <w:spacing w:val="1"/>
        </w:rPr>
        <w:t>or  their</w:t>
      </w:r>
      <w:proofErr w:type="gramEnd"/>
      <w:r>
        <w:rPr>
          <w:rFonts w:eastAsia="Times New Roman" w:cs="Arial"/>
          <w:spacing w:val="1"/>
        </w:rPr>
        <w:t>  sub</w:t>
      </w:r>
      <w:r>
        <w:rPr>
          <w:rFonts w:eastAsia="Times New Roman" w:cs="Arial"/>
          <w:spacing w:val="1"/>
        </w:rPr>
        <w:softHyphen/>
        <w:t>contractor</w:t>
      </w:r>
      <w:r>
        <w:rPr>
          <w:rFonts w:eastAsia="Times New Roman" w:cs="Arial"/>
          <w:spacing w:val="1"/>
        </w:rPr>
        <w:t>s is determined</w:t>
      </w:r>
      <w:r>
        <w:rPr>
          <w:rFonts w:eastAsia="Times New Roman" w:cs="Arial"/>
          <w:spacing w:val="1"/>
        </w:rPr>
        <w:t>.</w:t>
      </w:r>
    </w:p>
    <w:p w14:paraId="3E734B83" w14:textId="77777777" w:rsidR="00000000" w:rsidRDefault="00131D2D" w:rsidP="00131D2D">
      <w:pPr>
        <w:spacing w:line="260" w:lineRule="atLeast"/>
        <w:jc w:val="both"/>
        <w:divId w:val="1959027701"/>
        <w:rPr>
          <w:rFonts w:eastAsia="Times New Roman" w:cs="Arial"/>
          <w:spacing w:val="1"/>
        </w:rPr>
      </w:pPr>
      <w:r>
        <w:rPr>
          <w:rFonts w:eastAsia="Times New Roman" w:cs="Arial"/>
          <w:spacing w:val="1"/>
        </w:rPr>
        <w:t>·    </w:t>
      </w:r>
      <w:proofErr w:type="spellStart"/>
      <w:r>
        <w:rPr>
          <w:rFonts w:eastAsia="Times New Roman" w:cs="Arial"/>
          <w:spacing w:val="1"/>
        </w:rPr>
        <w:t>Pusbroliai</w:t>
      </w:r>
      <w:proofErr w:type="spellEnd"/>
      <w:r>
        <w:rPr>
          <w:rFonts w:eastAsia="Times New Roman" w:cs="Arial"/>
          <w:spacing w:val="1"/>
        </w:rPr>
        <w:t xml:space="preserve"> UAB carries out audits in the forest during logging in advance and checks if all occupational safety measures are in place. In additional, all </w:t>
      </w:r>
      <w:proofErr w:type="gramStart"/>
      <w:r>
        <w:rPr>
          <w:rFonts w:eastAsia="Times New Roman" w:cs="Arial"/>
          <w:spacing w:val="1"/>
        </w:rPr>
        <w:t>wood  harvesting</w:t>
      </w:r>
      <w:proofErr w:type="gramEnd"/>
      <w:r>
        <w:rPr>
          <w:rFonts w:eastAsia="Times New Roman" w:cs="Arial"/>
          <w:spacing w:val="1"/>
        </w:rPr>
        <w:t>  companies  and  their  sub</w:t>
      </w:r>
      <w:r>
        <w:rPr>
          <w:rFonts w:eastAsia="Times New Roman" w:cs="Arial"/>
          <w:spacing w:val="1"/>
        </w:rPr>
        <w:softHyphen/>
        <w:t>contractors must sign contract in o</w:t>
      </w:r>
      <w:r>
        <w:rPr>
          <w:rFonts w:eastAsia="Times New Roman" w:cs="Arial"/>
          <w:spacing w:val="1"/>
        </w:rPr>
        <w:t xml:space="preserve">rder to work under </w:t>
      </w:r>
      <w:proofErr w:type="spellStart"/>
      <w:r>
        <w:rPr>
          <w:rFonts w:eastAsia="Times New Roman" w:cs="Arial"/>
          <w:spacing w:val="1"/>
        </w:rPr>
        <w:t>labor</w:t>
      </w:r>
      <w:proofErr w:type="spellEnd"/>
      <w:r>
        <w:rPr>
          <w:rFonts w:eastAsia="Times New Roman" w:cs="Arial"/>
          <w:spacing w:val="1"/>
        </w:rPr>
        <w:t xml:space="preserve"> safety regulations in accordance with the legislation of the Republic of Lithuania.</w:t>
      </w:r>
    </w:p>
    <w:p w14:paraId="6824AF30" w14:textId="77777777" w:rsidR="00000000" w:rsidRDefault="00131D2D" w:rsidP="00131D2D">
      <w:pPr>
        <w:spacing w:line="260" w:lineRule="atLeast"/>
        <w:jc w:val="both"/>
        <w:divId w:val="1435058886"/>
        <w:rPr>
          <w:rFonts w:eastAsia="Times New Roman" w:cs="Arial"/>
          <w:spacing w:val="1"/>
        </w:rPr>
      </w:pPr>
      <w:r>
        <w:rPr>
          <w:rFonts w:eastAsia="Times New Roman" w:cs="Arial"/>
          <w:spacing w:val="1"/>
        </w:rPr>
        <w:t>For reason to minimize the risks, the company carries out audits according to the wood origin documents. All the possible forest and outside forest</w:t>
      </w:r>
      <w:r>
        <w:rPr>
          <w:rFonts w:eastAsia="Times New Roman" w:cs="Arial"/>
          <w:spacing w:val="1"/>
        </w:rPr>
        <w:t xml:space="preserve"> area felling sites are inspected and audited at the WKH-registry and at the State Cadastre Maps of Protected Areas</w:t>
      </w:r>
      <w:r>
        <w:rPr>
          <w:rFonts w:eastAsia="Times New Roman" w:cs="Arial"/>
          <w:spacing w:val="1"/>
        </w:rPr>
        <w:t>.</w:t>
      </w:r>
    </w:p>
    <w:p w14:paraId="6261B308" w14:textId="77777777" w:rsidR="00000000" w:rsidRDefault="00131D2D" w:rsidP="00131D2D">
      <w:pPr>
        <w:spacing w:line="260" w:lineRule="atLeast"/>
        <w:jc w:val="both"/>
        <w:divId w:val="1074429135"/>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generates a list of wood harvesting companies and their sub-contractors and service providers separately in Lithuania workin</w:t>
      </w:r>
      <w:r>
        <w:rPr>
          <w:rFonts w:eastAsia="Times New Roman" w:cs="Arial"/>
          <w:spacing w:val="1"/>
        </w:rPr>
        <w:t>g with chainsaws in the system and performs audit once a quarter.</w:t>
      </w:r>
    </w:p>
    <w:p w14:paraId="591E17A4" w14:textId="77777777" w:rsidR="00000000" w:rsidRDefault="00131D2D">
      <w:pPr>
        <w:spacing w:line="260" w:lineRule="atLeast"/>
        <w:divId w:val="1091396755"/>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selects contractors for audit in accordance:</w:t>
      </w:r>
    </w:p>
    <w:p w14:paraId="727DD155" w14:textId="77777777" w:rsidR="00000000" w:rsidRDefault="00131D2D">
      <w:pPr>
        <w:spacing w:line="260" w:lineRule="atLeast"/>
        <w:divId w:val="57092659"/>
        <w:rPr>
          <w:rFonts w:eastAsia="Times New Roman" w:cs="Arial"/>
          <w:spacing w:val="1"/>
        </w:rPr>
      </w:pPr>
      <w:r>
        <w:rPr>
          <w:rFonts w:eastAsia="Times New Roman" w:cs="Arial"/>
          <w:spacing w:val="1"/>
        </w:rPr>
        <w:t xml:space="preserve">-has not been inspected during the last calendar </w:t>
      </w:r>
      <w:proofErr w:type="gramStart"/>
      <w:r>
        <w:rPr>
          <w:rFonts w:eastAsia="Times New Roman" w:cs="Arial"/>
          <w:spacing w:val="1"/>
        </w:rPr>
        <w:t>year</w:t>
      </w:r>
      <w:r>
        <w:rPr>
          <w:rFonts w:eastAsia="Times New Roman" w:cs="Arial"/>
          <w:spacing w:val="1"/>
        </w:rPr>
        <w:t>;</w:t>
      </w:r>
      <w:proofErr w:type="gramEnd"/>
    </w:p>
    <w:p w14:paraId="5FD49327" w14:textId="77777777" w:rsidR="00000000" w:rsidRDefault="00131D2D" w:rsidP="00131D2D">
      <w:pPr>
        <w:spacing w:line="260" w:lineRule="atLeast"/>
        <w:jc w:val="both"/>
        <w:divId w:val="2122799976"/>
        <w:rPr>
          <w:rFonts w:eastAsia="Times New Roman" w:cs="Arial"/>
          <w:spacing w:val="1"/>
        </w:rPr>
      </w:pPr>
      <w:r>
        <w:rPr>
          <w:rFonts w:eastAsia="Times New Roman" w:cs="Arial"/>
          <w:spacing w:val="1"/>
        </w:rPr>
        <w:lastRenderedPageBreak/>
        <w:t>-</w:t>
      </w:r>
      <w:proofErr w:type="gramStart"/>
      <w:r>
        <w:rPr>
          <w:rFonts w:eastAsia="Times New Roman" w:cs="Arial"/>
          <w:spacing w:val="1"/>
        </w:rPr>
        <w:t>auditable  areas</w:t>
      </w:r>
      <w:proofErr w:type="gramEnd"/>
      <w:r>
        <w:rPr>
          <w:rFonts w:eastAsia="Times New Roman" w:cs="Arial"/>
          <w:spacing w:val="1"/>
        </w:rPr>
        <w:t>  and  suppliers  are  selected  so  that   supply  region</w:t>
      </w:r>
      <w:r>
        <w:rPr>
          <w:rFonts w:eastAsia="Times New Roman" w:cs="Arial"/>
          <w:spacing w:val="1"/>
        </w:rPr>
        <w:t>  and  a  variety  of  contractors   are  maximally  covered. </w:t>
      </w:r>
    </w:p>
    <w:p w14:paraId="791E20F2" w14:textId="77777777" w:rsidR="00000000" w:rsidRDefault="00131D2D" w:rsidP="00131D2D">
      <w:pPr>
        <w:spacing w:line="260" w:lineRule="atLeast"/>
        <w:jc w:val="both"/>
        <w:divId w:val="1001202121"/>
        <w:rPr>
          <w:rFonts w:eastAsia="Times New Roman" w:cs="Arial"/>
          <w:spacing w:val="1"/>
        </w:rPr>
      </w:pPr>
      <w:r>
        <w:rPr>
          <w:rFonts w:eastAsia="Times New Roman" w:cs="Arial"/>
          <w:spacing w:val="1"/>
        </w:rPr>
        <w:t xml:space="preserve">Wood harvesting contractors of Secondary Feedstock (sawdust, </w:t>
      </w:r>
      <w:proofErr w:type="gramStart"/>
      <w:r>
        <w:rPr>
          <w:rFonts w:eastAsia="Times New Roman" w:cs="Arial"/>
          <w:spacing w:val="1"/>
        </w:rPr>
        <w:t>barks</w:t>
      </w:r>
      <w:proofErr w:type="gramEnd"/>
      <w:r>
        <w:rPr>
          <w:rFonts w:eastAsia="Times New Roman" w:cs="Arial"/>
          <w:spacing w:val="1"/>
        </w:rPr>
        <w:t xml:space="preserve"> and wood chips) </w:t>
      </w:r>
      <w:proofErr w:type="spellStart"/>
      <w:r>
        <w:rPr>
          <w:rFonts w:eastAsia="Times New Roman" w:cs="Arial"/>
          <w:spacing w:val="1"/>
        </w:rPr>
        <w:t>Pusbroliai</w:t>
      </w:r>
      <w:proofErr w:type="spellEnd"/>
      <w:r>
        <w:rPr>
          <w:rFonts w:eastAsia="Times New Roman" w:cs="Arial"/>
          <w:spacing w:val="1"/>
        </w:rPr>
        <w:t xml:space="preserve"> UAB performs audit in such order and frequency:</w:t>
      </w:r>
    </w:p>
    <w:p w14:paraId="13E2E5B1" w14:textId="77777777" w:rsidR="00000000" w:rsidRDefault="00131D2D">
      <w:pPr>
        <w:spacing w:line="260" w:lineRule="atLeast"/>
        <w:divId w:val="854684843"/>
        <w:rPr>
          <w:rFonts w:eastAsia="Times New Roman" w:cs="Arial"/>
          <w:spacing w:val="1"/>
        </w:rPr>
      </w:pPr>
      <w:r>
        <w:rPr>
          <w:rFonts w:eastAsia="Times New Roman" w:cs="Arial"/>
          <w:spacing w:val="1"/>
        </w:rPr>
        <w:t xml:space="preserve">-audit once per </w:t>
      </w:r>
      <w:proofErr w:type="gramStart"/>
      <w:r>
        <w:rPr>
          <w:rFonts w:eastAsia="Times New Roman" w:cs="Arial"/>
          <w:spacing w:val="1"/>
        </w:rPr>
        <w:t>year</w:t>
      </w:r>
      <w:r>
        <w:rPr>
          <w:rFonts w:eastAsia="Times New Roman" w:cs="Arial"/>
          <w:spacing w:val="1"/>
        </w:rPr>
        <w:t>;</w:t>
      </w:r>
      <w:proofErr w:type="gramEnd"/>
    </w:p>
    <w:p w14:paraId="029281DC" w14:textId="77777777" w:rsidR="00000000" w:rsidRDefault="00131D2D">
      <w:pPr>
        <w:spacing w:line="260" w:lineRule="atLeast"/>
        <w:divId w:val="2032342373"/>
        <w:rPr>
          <w:rFonts w:eastAsia="Times New Roman" w:cs="Arial"/>
          <w:spacing w:val="1"/>
        </w:rPr>
      </w:pPr>
      <w:r>
        <w:rPr>
          <w:rFonts w:eastAsia="Times New Roman" w:cs="Arial"/>
          <w:spacing w:val="1"/>
        </w:rPr>
        <w:t>-during the audit 1 case is s</w:t>
      </w:r>
      <w:r>
        <w:rPr>
          <w:rFonts w:eastAsia="Times New Roman" w:cs="Arial"/>
          <w:spacing w:val="1"/>
        </w:rPr>
        <w:t xml:space="preserve">elected by chance and the supply base is traced according to the </w:t>
      </w:r>
      <w:proofErr w:type="gramStart"/>
      <w:r>
        <w:rPr>
          <w:rFonts w:eastAsia="Times New Roman" w:cs="Arial"/>
          <w:spacing w:val="1"/>
        </w:rPr>
        <w:t>documents</w:t>
      </w:r>
      <w:r>
        <w:rPr>
          <w:rFonts w:eastAsia="Times New Roman" w:cs="Arial"/>
          <w:spacing w:val="1"/>
        </w:rPr>
        <w:t>;</w:t>
      </w:r>
      <w:proofErr w:type="gramEnd"/>
    </w:p>
    <w:p w14:paraId="498C7E22" w14:textId="77777777" w:rsidR="00000000" w:rsidRDefault="00131D2D" w:rsidP="00131D2D">
      <w:pPr>
        <w:spacing w:line="260" w:lineRule="atLeast"/>
        <w:jc w:val="both"/>
        <w:divId w:val="1585996236"/>
        <w:rPr>
          <w:rFonts w:eastAsia="Times New Roman" w:cs="Arial"/>
          <w:spacing w:val="1"/>
        </w:rPr>
      </w:pPr>
      <w:r>
        <w:rPr>
          <w:rFonts w:eastAsia="Times New Roman" w:cs="Arial"/>
          <w:spacing w:val="1"/>
        </w:rPr>
        <w:t xml:space="preserve">-when the supply base is identified, the forest or out of forest site’s owner is contacted and the loggers </w:t>
      </w:r>
      <w:proofErr w:type="gramStart"/>
      <w:r>
        <w:rPr>
          <w:rFonts w:eastAsia="Times New Roman" w:cs="Arial"/>
          <w:spacing w:val="1"/>
        </w:rPr>
        <w:t>or  their</w:t>
      </w:r>
      <w:proofErr w:type="gramEnd"/>
      <w:r>
        <w:rPr>
          <w:rFonts w:eastAsia="Times New Roman" w:cs="Arial"/>
          <w:spacing w:val="1"/>
        </w:rPr>
        <w:t>  sub</w:t>
      </w:r>
      <w:r>
        <w:rPr>
          <w:rFonts w:eastAsia="Times New Roman" w:cs="Arial"/>
          <w:spacing w:val="1"/>
        </w:rPr>
        <w:softHyphen/>
        <w:t>contractors is determined</w:t>
      </w:r>
      <w:r>
        <w:rPr>
          <w:rFonts w:eastAsia="Times New Roman" w:cs="Arial"/>
          <w:spacing w:val="1"/>
        </w:rPr>
        <w:t>.</w:t>
      </w:r>
    </w:p>
    <w:p w14:paraId="74F9BD14" w14:textId="6732EC5B" w:rsidR="005415D2" w:rsidRDefault="00083003" w:rsidP="000C27C4">
      <w:pPr>
        <w:pStyle w:val="Heading2"/>
      </w:pPr>
      <w:bookmarkStart w:id="18" w:name="_Toc412646207"/>
      <w:bookmarkStart w:id="19" w:name="_Toc63846083"/>
      <w:r>
        <w:t>Conclusion</w:t>
      </w:r>
      <w:bookmarkEnd w:id="18"/>
      <w:bookmarkEnd w:id="19"/>
    </w:p>
    <w:p w14:paraId="540743C4" w14:textId="77777777" w:rsidR="00000000" w:rsidRDefault="00131D2D" w:rsidP="00131D2D">
      <w:pPr>
        <w:spacing w:line="260" w:lineRule="atLeast"/>
        <w:jc w:val="both"/>
        <w:divId w:val="768545867"/>
        <w:rPr>
          <w:rFonts w:eastAsia="Times New Roman" w:cs="Arial"/>
          <w:spacing w:val="1"/>
        </w:rPr>
      </w:pPr>
      <w:r>
        <w:rPr>
          <w:rFonts w:eastAsia="Times New Roman" w:cs="Arial"/>
          <w:spacing w:val="1"/>
        </w:rPr>
        <w:t xml:space="preserve">The purpose with the SVP, supplier program is to ensure that the subcontractors </w:t>
      </w:r>
      <w:proofErr w:type="gramStart"/>
      <w:r>
        <w:rPr>
          <w:rFonts w:eastAsia="Times New Roman" w:cs="Arial"/>
          <w:spacing w:val="1"/>
        </w:rPr>
        <w:t>does</w:t>
      </w:r>
      <w:proofErr w:type="gramEnd"/>
      <w:r>
        <w:rPr>
          <w:rFonts w:eastAsia="Times New Roman" w:cs="Arial"/>
          <w:spacing w:val="1"/>
        </w:rPr>
        <w:t xml:space="preserve"> </w:t>
      </w:r>
      <w:proofErr w:type="spellStart"/>
      <w:r>
        <w:rPr>
          <w:rFonts w:eastAsia="Times New Roman" w:cs="Arial"/>
          <w:spacing w:val="1"/>
        </w:rPr>
        <w:t>fulfill</w:t>
      </w:r>
      <w:proofErr w:type="spellEnd"/>
      <w:r>
        <w:rPr>
          <w:rFonts w:eastAsia="Times New Roman" w:cs="Arial"/>
          <w:spacing w:val="1"/>
        </w:rPr>
        <w:t xml:space="preserve"> </w:t>
      </w:r>
      <w:proofErr w:type="spellStart"/>
      <w:r>
        <w:rPr>
          <w:rFonts w:eastAsia="Times New Roman" w:cs="Arial"/>
          <w:spacing w:val="1"/>
        </w:rPr>
        <w:t>Pusbroliai</w:t>
      </w:r>
      <w:proofErr w:type="spellEnd"/>
      <w:r>
        <w:rPr>
          <w:rFonts w:eastAsia="Times New Roman" w:cs="Arial"/>
          <w:spacing w:val="1"/>
        </w:rPr>
        <w:t xml:space="preserve"> UAB procedures and do the mitigation measures. Further to ensure that the </w:t>
      </w:r>
      <w:r>
        <w:rPr>
          <w:rFonts w:eastAsia="Times New Roman" w:cs="Arial"/>
          <w:spacing w:val="1"/>
        </w:rPr>
        <w:t xml:space="preserve">requirements in standard 1 is fulfilled, and hereby ensure harvest of primary feedstock in </w:t>
      </w:r>
      <w:proofErr w:type="gramStart"/>
      <w:r>
        <w:rPr>
          <w:rFonts w:eastAsia="Times New Roman" w:cs="Arial"/>
          <w:spacing w:val="1"/>
        </w:rPr>
        <w:t>low risk</w:t>
      </w:r>
      <w:proofErr w:type="gramEnd"/>
      <w:r>
        <w:rPr>
          <w:rFonts w:eastAsia="Times New Roman" w:cs="Arial"/>
          <w:spacing w:val="1"/>
        </w:rPr>
        <w:t xml:space="preserve"> areas. The risk mitigation measures refer to the supply of primary and secondary wood material.</w:t>
      </w:r>
    </w:p>
    <w:p w14:paraId="35BF9B22" w14:textId="77777777" w:rsidR="00000000" w:rsidRDefault="00131D2D" w:rsidP="00131D2D">
      <w:pPr>
        <w:spacing w:line="260" w:lineRule="atLeast"/>
        <w:jc w:val="both"/>
        <w:divId w:val="69810446"/>
        <w:rPr>
          <w:rFonts w:eastAsia="Times New Roman" w:cs="Arial"/>
          <w:spacing w:val="1"/>
        </w:rPr>
      </w:pPr>
      <w:r>
        <w:rPr>
          <w:rFonts w:eastAsia="Times New Roman" w:cs="Arial"/>
          <w:spacing w:val="1"/>
        </w:rPr>
        <w:t>In Lithuania company secures low risk in indicators 2.1.1 an</w:t>
      </w:r>
      <w:r>
        <w:rPr>
          <w:rFonts w:eastAsia="Times New Roman" w:cs="Arial"/>
          <w:spacing w:val="1"/>
        </w:rPr>
        <w:t xml:space="preserve">d 2.8.1 by ensuring that no material is sourced from cadastral with WKH and harvesting companies work under </w:t>
      </w:r>
      <w:proofErr w:type="spellStart"/>
      <w:r>
        <w:rPr>
          <w:rFonts w:eastAsia="Times New Roman" w:cs="Arial"/>
          <w:spacing w:val="1"/>
        </w:rPr>
        <w:t>labor</w:t>
      </w:r>
      <w:proofErr w:type="spellEnd"/>
      <w:r>
        <w:rPr>
          <w:rFonts w:eastAsia="Times New Roman" w:cs="Arial"/>
          <w:spacing w:val="1"/>
        </w:rPr>
        <w:t xml:space="preserve"> safety</w:t>
      </w:r>
      <w:r>
        <w:rPr>
          <w:rFonts w:eastAsia="Times New Roman" w:cs="Arial"/>
          <w:spacing w:val="1"/>
        </w:rPr>
        <w:t>.</w:t>
      </w:r>
    </w:p>
    <w:p w14:paraId="12AF3488" w14:textId="77777777" w:rsidR="00000000" w:rsidRDefault="00131D2D" w:rsidP="00131D2D">
      <w:pPr>
        <w:spacing w:line="260" w:lineRule="atLeast"/>
        <w:jc w:val="both"/>
        <w:divId w:val="2042512165"/>
        <w:rPr>
          <w:rFonts w:eastAsia="Times New Roman" w:cs="Arial"/>
          <w:spacing w:val="1"/>
        </w:rPr>
      </w:pPr>
      <w:r>
        <w:rPr>
          <w:rFonts w:eastAsia="Times New Roman" w:cs="Arial"/>
          <w:spacing w:val="1"/>
        </w:rPr>
        <w:t> Have been initiated and introduced, the compliance of feedstock suppliers to specific risks was reviewed. Verification of suppliers i</w:t>
      </w:r>
      <w:r>
        <w:rPr>
          <w:rFonts w:eastAsia="Times New Roman" w:cs="Arial"/>
          <w:spacing w:val="1"/>
        </w:rPr>
        <w:t xml:space="preserve">s done of all contractors, which produces biomass of primary feedstock, that was or will be sold as SBP-compliant. During the secondary </w:t>
      </w:r>
      <w:proofErr w:type="gramStart"/>
      <w:r>
        <w:rPr>
          <w:rFonts w:eastAsia="Times New Roman" w:cs="Arial"/>
          <w:spacing w:val="1"/>
        </w:rPr>
        <w:t>suppliers</w:t>
      </w:r>
      <w:proofErr w:type="gramEnd"/>
      <w:r>
        <w:rPr>
          <w:rFonts w:eastAsia="Times New Roman" w:cs="Arial"/>
          <w:spacing w:val="1"/>
        </w:rPr>
        <w:t xml:space="preserve"> audit was visited the production site, where it was confirmed the origin and region according documents (invoi</w:t>
      </w:r>
      <w:r>
        <w:rPr>
          <w:rFonts w:eastAsia="Times New Roman" w:cs="Arial"/>
          <w:spacing w:val="1"/>
        </w:rPr>
        <w:t>ces, waybills, documents of wood origin) and identified loggers. Many of logging companies use harvesters in logging operations, that reduce the risk. The results of the supplier verification on the contractors shows that the risk mitigation measures ensur</w:t>
      </w:r>
      <w:r>
        <w:rPr>
          <w:rFonts w:eastAsia="Times New Roman" w:cs="Arial"/>
          <w:spacing w:val="1"/>
        </w:rPr>
        <w:t>e that the indicators with “specified risk” is possible to classify as low risk. </w:t>
      </w:r>
    </w:p>
    <w:p w14:paraId="0AC01CD8" w14:textId="12B0FD6A" w:rsidR="005415D2" w:rsidRDefault="00083003" w:rsidP="00AF3063">
      <w:pPr>
        <w:pStyle w:val="Heading1"/>
      </w:pPr>
      <w:bookmarkStart w:id="20" w:name="_Toc412646208"/>
      <w:bookmarkStart w:id="21" w:name="_Toc63846084"/>
      <w:r>
        <w:lastRenderedPageBreak/>
        <w:t>Supply Base Evaluation process</w:t>
      </w:r>
      <w:bookmarkEnd w:id="20"/>
      <w:bookmarkEnd w:id="21"/>
    </w:p>
    <w:p w14:paraId="2B006121" w14:textId="77777777" w:rsidR="00000000" w:rsidRDefault="00131D2D" w:rsidP="00131D2D">
      <w:pPr>
        <w:spacing w:line="260" w:lineRule="atLeast"/>
        <w:jc w:val="both"/>
        <w:divId w:val="1719546019"/>
        <w:rPr>
          <w:rFonts w:eastAsia="Times New Roman" w:cs="Arial"/>
          <w:spacing w:val="1"/>
        </w:rPr>
      </w:pPr>
      <w:r>
        <w:rPr>
          <w:rFonts w:ascii="Tahoma" w:eastAsia="Times New Roman" w:hAnsi="Tahoma" w:cs="Tahoma"/>
          <w:spacing w:val="1"/>
        </w:rPr>
        <w:t>﻿</w:t>
      </w:r>
      <w:r>
        <w:rPr>
          <w:rFonts w:eastAsia="Times New Roman" w:cs="Arial"/>
          <w:spacing w:val="1"/>
        </w:rPr>
        <w:t xml:space="preserve">SBE risk assessment results </w:t>
      </w:r>
      <w:proofErr w:type="gramStart"/>
      <w:r>
        <w:rPr>
          <w:rFonts w:eastAsia="Times New Roman" w:cs="Arial"/>
          <w:spacing w:val="1"/>
        </w:rPr>
        <w:t>is</w:t>
      </w:r>
      <w:proofErr w:type="gramEnd"/>
      <w:r>
        <w:rPr>
          <w:rFonts w:eastAsia="Times New Roman" w:cs="Arial"/>
          <w:spacing w:val="1"/>
        </w:rPr>
        <w:t xml:space="preserve"> achieved by performing sawmills and physical audits with the presence of logging companies. In Lithuania supply base evaluation process entails the verification of accompanying proper documents, purchase agreements, </w:t>
      </w:r>
      <w:proofErr w:type="gramStart"/>
      <w:r>
        <w:rPr>
          <w:rFonts w:eastAsia="Times New Roman" w:cs="Arial"/>
          <w:spacing w:val="1"/>
        </w:rPr>
        <w:t>invoices</w:t>
      </w:r>
      <w:proofErr w:type="gramEnd"/>
      <w:r>
        <w:rPr>
          <w:rFonts w:eastAsia="Times New Roman" w:cs="Arial"/>
          <w:spacing w:val="1"/>
        </w:rPr>
        <w:t xml:space="preserve"> </w:t>
      </w:r>
      <w:r>
        <w:rPr>
          <w:rFonts w:eastAsia="Times New Roman" w:cs="Arial"/>
          <w:spacing w:val="1"/>
        </w:rPr>
        <w:t>and delivery documents to identify the origins of SBP material. The suppliers sign a contract that they do not source feedstock from WKH areas. In additional, company check database for avoiding feedstock from WKH. </w:t>
      </w:r>
    </w:p>
    <w:p w14:paraId="489AF4E5" w14:textId="77777777" w:rsidR="00000000" w:rsidRDefault="00131D2D" w:rsidP="00131D2D">
      <w:pPr>
        <w:spacing w:line="260" w:lineRule="atLeast"/>
        <w:jc w:val="both"/>
        <w:divId w:val="2022202133"/>
        <w:rPr>
          <w:rFonts w:eastAsia="Times New Roman" w:cs="Arial"/>
          <w:spacing w:val="1"/>
        </w:rPr>
      </w:pPr>
      <w:r>
        <w:rPr>
          <w:rFonts w:eastAsia="Times New Roman" w:cs="Arial"/>
          <w:spacing w:val="1"/>
        </w:rPr>
        <w:t>All properties are under risk assessment</w:t>
      </w:r>
      <w:r>
        <w:rPr>
          <w:rFonts w:eastAsia="Times New Roman" w:cs="Arial"/>
          <w:spacing w:val="1"/>
        </w:rPr>
        <w:t xml:space="preserve"> and inspection is carried out in harvesting sites to identify WKH areas and work under </w:t>
      </w:r>
      <w:proofErr w:type="spellStart"/>
      <w:r>
        <w:rPr>
          <w:rFonts w:eastAsia="Times New Roman" w:cs="Arial"/>
          <w:spacing w:val="1"/>
        </w:rPr>
        <w:t>labor</w:t>
      </w:r>
      <w:proofErr w:type="spellEnd"/>
      <w:r>
        <w:rPr>
          <w:rFonts w:eastAsia="Times New Roman" w:cs="Arial"/>
          <w:spacing w:val="1"/>
        </w:rPr>
        <w:t xml:space="preserve"> safety regulations in accordance with the legislation of the Republic of Lithuania as well as an on-site audit. </w:t>
      </w:r>
    </w:p>
    <w:p w14:paraId="7BB1E116" w14:textId="77777777" w:rsidR="00000000" w:rsidRDefault="00131D2D" w:rsidP="00131D2D">
      <w:pPr>
        <w:spacing w:line="260" w:lineRule="atLeast"/>
        <w:jc w:val="both"/>
        <w:divId w:val="1380322737"/>
        <w:rPr>
          <w:rFonts w:eastAsia="Times New Roman" w:cs="Arial"/>
          <w:spacing w:val="1"/>
        </w:rPr>
      </w:pPr>
      <w:r>
        <w:rPr>
          <w:rFonts w:eastAsia="Times New Roman" w:cs="Arial"/>
          <w:spacing w:val="1"/>
        </w:rPr>
        <w:t>The SBE is made of company own staff, which is ed</w:t>
      </w:r>
      <w:r>
        <w:rPr>
          <w:rFonts w:eastAsia="Times New Roman" w:cs="Arial"/>
          <w:spacing w:val="1"/>
        </w:rPr>
        <w:t xml:space="preserve">ucated in forestry and have </w:t>
      </w:r>
      <w:proofErr w:type="spellStart"/>
      <w:r>
        <w:rPr>
          <w:rFonts w:eastAsia="Times New Roman" w:cs="Arial"/>
          <w:spacing w:val="1"/>
        </w:rPr>
        <w:t>longterm</w:t>
      </w:r>
      <w:proofErr w:type="spellEnd"/>
      <w:r>
        <w:rPr>
          <w:rFonts w:eastAsia="Times New Roman" w:cs="Arial"/>
          <w:spacing w:val="1"/>
        </w:rPr>
        <w:t xml:space="preserve"> of experience and knowledge in forestry, supplies of wood, </w:t>
      </w:r>
      <w:proofErr w:type="gramStart"/>
      <w:r>
        <w:rPr>
          <w:rFonts w:eastAsia="Times New Roman" w:cs="Arial"/>
          <w:spacing w:val="1"/>
        </w:rPr>
        <w:t>procurement</w:t>
      </w:r>
      <w:proofErr w:type="gramEnd"/>
      <w:r>
        <w:rPr>
          <w:rFonts w:eastAsia="Times New Roman" w:cs="Arial"/>
          <w:spacing w:val="1"/>
        </w:rPr>
        <w:t xml:space="preserve"> and legislation. Also have several </w:t>
      </w:r>
      <w:proofErr w:type="spellStart"/>
      <w:r>
        <w:rPr>
          <w:rFonts w:eastAsia="Times New Roman" w:cs="Arial"/>
          <w:spacing w:val="1"/>
        </w:rPr>
        <w:t>years experience</w:t>
      </w:r>
      <w:proofErr w:type="spellEnd"/>
      <w:r>
        <w:rPr>
          <w:rFonts w:eastAsia="Times New Roman" w:cs="Arial"/>
          <w:spacing w:val="1"/>
        </w:rPr>
        <w:t xml:space="preserve"> in maintaining FSC system and assessment of wood origin at forest management.</w:t>
      </w:r>
      <w:r>
        <w:rPr>
          <w:rFonts w:eastAsia="Times New Roman" w:cs="Arial"/>
          <w:spacing w:val="1"/>
        </w:rPr>
        <w:t xml:space="preserve"> </w:t>
      </w:r>
    </w:p>
    <w:p w14:paraId="7214F868" w14:textId="77777777" w:rsidR="00000000" w:rsidRDefault="00131D2D" w:rsidP="00131D2D">
      <w:pPr>
        <w:spacing w:line="260" w:lineRule="atLeast"/>
        <w:jc w:val="both"/>
        <w:divId w:val="941692818"/>
        <w:rPr>
          <w:rFonts w:eastAsia="Times New Roman" w:cs="Arial"/>
          <w:spacing w:val="1"/>
        </w:rPr>
      </w:pPr>
      <w:r>
        <w:rPr>
          <w:rFonts w:eastAsia="Times New Roman" w:cs="Arial"/>
          <w:spacing w:val="1"/>
        </w:rPr>
        <w:t xml:space="preserve">As the basis for </w:t>
      </w:r>
      <w:r>
        <w:rPr>
          <w:rFonts w:eastAsia="Times New Roman" w:cs="Arial"/>
          <w:spacing w:val="1"/>
        </w:rPr>
        <w:t>the SBP SBE risk minimization system, an audit programmer has been designed and FSC CRN minimization measures programmer guidelines, FSC supply and FSC Forest certification system experience and knowledge in forestry and in the field of wood supply legisla</w:t>
      </w:r>
      <w:r>
        <w:rPr>
          <w:rFonts w:eastAsia="Times New Roman" w:cs="Arial"/>
          <w:spacing w:val="1"/>
        </w:rPr>
        <w:t xml:space="preserve">tion have been used. The company has prepared and applied verification questionnaires for each risk indicator </w:t>
      </w:r>
      <w:proofErr w:type="gramStart"/>
      <w:r>
        <w:rPr>
          <w:rFonts w:eastAsia="Times New Roman" w:cs="Arial"/>
          <w:spacing w:val="1"/>
        </w:rPr>
        <w:t>in order to</w:t>
      </w:r>
      <w:proofErr w:type="gramEnd"/>
      <w:r>
        <w:rPr>
          <w:rFonts w:eastAsia="Times New Roman" w:cs="Arial"/>
          <w:spacing w:val="1"/>
        </w:rPr>
        <w:t xml:space="preserve"> objectively evaluate and obtain general information for each wood extraction site that has been approved or not approved as the SBP-co</w:t>
      </w:r>
      <w:r>
        <w:rPr>
          <w:rFonts w:eastAsia="Times New Roman" w:cs="Arial"/>
          <w:spacing w:val="1"/>
        </w:rPr>
        <w:t>mpliant biomass.</w:t>
      </w:r>
    </w:p>
    <w:p w14:paraId="56E58413" w14:textId="4DEDF5A8" w:rsidR="005415D2" w:rsidRDefault="00083003" w:rsidP="00AF3063">
      <w:pPr>
        <w:pStyle w:val="Heading1"/>
      </w:pPr>
      <w:bookmarkStart w:id="22" w:name="_Toc412646209"/>
      <w:bookmarkStart w:id="23" w:name="_Toc63846085"/>
      <w:r>
        <w:lastRenderedPageBreak/>
        <w:t>Stakeholder consultation</w:t>
      </w:r>
      <w:bookmarkEnd w:id="22"/>
      <w:bookmarkEnd w:id="23"/>
      <w:r>
        <w:t xml:space="preserve"> </w:t>
      </w:r>
    </w:p>
    <w:p w14:paraId="25916770" w14:textId="77777777" w:rsidR="00000000" w:rsidRDefault="00131D2D" w:rsidP="00131D2D">
      <w:pPr>
        <w:spacing w:line="260" w:lineRule="atLeast"/>
        <w:jc w:val="both"/>
        <w:divId w:val="696928471"/>
        <w:rPr>
          <w:rFonts w:eastAsia="Times New Roman" w:cs="Arial"/>
          <w:spacing w:val="1"/>
        </w:rPr>
      </w:pPr>
      <w:r>
        <w:rPr>
          <w:rFonts w:ascii="Tahoma" w:eastAsia="Times New Roman" w:hAnsi="Tahoma" w:cs="Tahoma"/>
          <w:spacing w:val="1"/>
        </w:rPr>
        <w:t>﻿﻿</w:t>
      </w:r>
      <w:r>
        <w:rPr>
          <w:rFonts w:eastAsia="Times New Roman" w:cs="Arial"/>
          <w:spacing w:val="1"/>
        </w:rPr>
        <w:t>SBP risk assessment is</w:t>
      </w:r>
      <w:r>
        <w:rPr>
          <w:rFonts w:eastAsia="Times New Roman" w:cs="Arial"/>
          <w:spacing w:val="1"/>
        </w:rPr>
        <w:t> </w:t>
      </w:r>
      <w:r>
        <w:rPr>
          <w:rFonts w:eastAsia="Times New Roman" w:cs="Arial"/>
          <w:spacing w:val="1"/>
        </w:rPr>
        <w:t>uploaded</w:t>
      </w:r>
      <w:r>
        <w:rPr>
          <w:rFonts w:eastAsia="Times New Roman" w:cs="Arial"/>
          <w:spacing w:val="1"/>
        </w:rPr>
        <w:t> </w:t>
      </w:r>
      <w:r>
        <w:rPr>
          <w:rFonts w:eastAsia="Times New Roman" w:cs="Arial"/>
          <w:spacing w:val="1"/>
        </w:rPr>
        <w:t>on company's website. An informative letter was sent electronically to the interested parties on the risk assessment developed according to SBP standard in 2020.</w:t>
      </w:r>
      <w:r>
        <w:rPr>
          <w:rFonts w:eastAsia="Times New Roman" w:cs="Arial"/>
          <w:spacing w:val="1"/>
        </w:rPr>
        <w:t> </w:t>
      </w:r>
    </w:p>
    <w:p w14:paraId="6CC0BAE4" w14:textId="78744325" w:rsidR="005415D2" w:rsidRDefault="00083003" w:rsidP="000C27C4">
      <w:pPr>
        <w:pStyle w:val="Heading2"/>
      </w:pPr>
      <w:bookmarkStart w:id="24" w:name="_Toc412646210"/>
      <w:bookmarkStart w:id="25" w:name="_Toc63846086"/>
      <w:r>
        <w:t>Response to stakeholder comments</w:t>
      </w:r>
      <w:bookmarkEnd w:id="24"/>
      <w:bookmarkEnd w:id="25"/>
    </w:p>
    <w:p w14:paraId="38CEB5EA" w14:textId="77777777" w:rsidR="005415D2" w:rsidRPr="000C27C4" w:rsidRDefault="005415D2">
      <w:pPr>
        <w:spacing w:after="0" w:line="240" w:lineRule="auto"/>
        <w:rPr>
          <w:rFonts w:cs="Arial"/>
          <w:lang w:val="en-US" w:eastAsia="nl-NL"/>
        </w:rPr>
      </w:pPr>
    </w:p>
    <w:p w14:paraId="6D2599DD" w14:textId="6F801128" w:rsidR="005415D2" w:rsidRDefault="00083003">
      <w:pPr>
        <w:spacing w:after="0" w:line="240" w:lineRule="auto"/>
        <w:rPr>
          <w:rFonts w:cs="Arial"/>
          <w:lang w:val="en-US" w:eastAsia="nl-NL"/>
        </w:rPr>
      </w:pPr>
      <w:r w:rsidRPr="005B5CFF">
        <w:rPr>
          <w:rFonts w:cs="Arial"/>
          <w:lang w:val="en-US" w:eastAsia="nl-N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495EBC" w14:paraId="6A684385" w14:textId="77777777" w:rsidTr="00F748D7">
        <w:tc>
          <w:tcPr>
            <w:tcW w:w="1413" w:type="dxa"/>
          </w:tcPr>
          <w:p w14:paraId="353889AB" w14:textId="29618773" w:rsidR="00495EBC" w:rsidRDefault="00495EBC">
            <w:pPr>
              <w:spacing w:after="0" w:line="240" w:lineRule="auto"/>
              <w:rPr>
                <w:rFonts w:cs="Arial"/>
                <w:lang w:val="en-US" w:eastAsia="nl-NL"/>
              </w:rPr>
            </w:pPr>
            <w:r w:rsidRPr="000C27C4">
              <w:rPr>
                <w:rFonts w:cs="Arial"/>
                <w:b/>
                <w:bCs/>
              </w:rPr>
              <w:t>Description:</w:t>
            </w:r>
          </w:p>
        </w:tc>
        <w:tc>
          <w:tcPr>
            <w:tcW w:w="8215" w:type="dxa"/>
          </w:tcPr>
          <w:p w14:paraId="24A6C337" w14:textId="77777777" w:rsidR="00495EBC" w:rsidRDefault="00495EBC">
            <w:pPr>
              <w:spacing w:after="0" w:line="240" w:lineRule="auto"/>
              <w:rPr>
                <w:rFonts w:cs="Arial"/>
              </w:rPr>
            </w:pPr>
            <w:r w:rsidRPr="000C27C4">
              <w:rPr>
                <w:rFonts w:cs="Arial"/>
              </w:rPr>
              <w:t>Has not been received any response from any of the stakeholders.</w:t>
            </w:r>
          </w:p>
          <w:p w14:paraId="55063691" w14:textId="31910CDA" w:rsidR="00F748D7" w:rsidRDefault="00F748D7">
            <w:pPr>
              <w:spacing w:after="0" w:line="240" w:lineRule="auto"/>
              <w:rPr>
                <w:rFonts w:cs="Arial"/>
                <w:lang w:val="en-US" w:eastAsia="nl-NL"/>
              </w:rPr>
            </w:pPr>
          </w:p>
        </w:tc>
      </w:tr>
      <w:tr w:rsidR="00495EBC" w14:paraId="11247636" w14:textId="77777777" w:rsidTr="00F748D7">
        <w:tc>
          <w:tcPr>
            <w:tcW w:w="1413" w:type="dxa"/>
          </w:tcPr>
          <w:p w14:paraId="3CF34645" w14:textId="52C9EC09" w:rsidR="00495EBC" w:rsidRDefault="00495EBC">
            <w:pPr>
              <w:spacing w:after="0" w:line="240" w:lineRule="auto"/>
              <w:rPr>
                <w:rFonts w:cs="Arial"/>
                <w:lang w:val="en-US" w:eastAsia="nl-NL"/>
              </w:rPr>
            </w:pPr>
            <w:r w:rsidRPr="000C27C4">
              <w:rPr>
                <w:rFonts w:cs="Arial"/>
                <w:b/>
                <w:bCs/>
              </w:rPr>
              <w:t>Comment:</w:t>
            </w:r>
          </w:p>
        </w:tc>
        <w:tc>
          <w:tcPr>
            <w:tcW w:w="8215" w:type="dxa"/>
          </w:tcPr>
          <w:p w14:paraId="723D4174" w14:textId="77777777" w:rsidR="00495EBC" w:rsidRDefault="00495EBC">
            <w:pPr>
              <w:spacing w:after="0" w:line="240" w:lineRule="auto"/>
              <w:rPr>
                <w:rFonts w:cs="Arial"/>
              </w:rPr>
            </w:pPr>
            <w:r w:rsidRPr="000C27C4">
              <w:rPr>
                <w:rFonts w:cs="Arial"/>
              </w:rPr>
              <w:t>No comments received</w:t>
            </w:r>
          </w:p>
          <w:p w14:paraId="5BDB8FB2" w14:textId="2C9BDB6A" w:rsidR="00F748D7" w:rsidRDefault="00F748D7">
            <w:pPr>
              <w:spacing w:after="0" w:line="240" w:lineRule="auto"/>
              <w:rPr>
                <w:rFonts w:cs="Arial"/>
                <w:lang w:val="en-US" w:eastAsia="nl-NL"/>
              </w:rPr>
            </w:pPr>
          </w:p>
        </w:tc>
      </w:tr>
      <w:tr w:rsidR="00495EBC" w14:paraId="4B059A33" w14:textId="77777777" w:rsidTr="00F748D7">
        <w:tc>
          <w:tcPr>
            <w:tcW w:w="1413" w:type="dxa"/>
          </w:tcPr>
          <w:p w14:paraId="3ED7A13A" w14:textId="68B9325B" w:rsidR="00495EBC" w:rsidRDefault="00495EBC">
            <w:pPr>
              <w:spacing w:after="0" w:line="240" w:lineRule="auto"/>
              <w:rPr>
                <w:rFonts w:cs="Arial"/>
                <w:lang w:val="en-US" w:eastAsia="nl-NL"/>
              </w:rPr>
            </w:pPr>
            <w:r w:rsidRPr="000C27C4">
              <w:rPr>
                <w:rFonts w:cs="Arial"/>
                <w:b/>
                <w:bCs/>
              </w:rPr>
              <w:t>Response</w:t>
            </w:r>
            <w:r>
              <w:rPr>
                <w:rFonts w:cs="Arial"/>
                <w:b/>
                <w:bCs/>
              </w:rPr>
              <w:t>:</w:t>
            </w:r>
          </w:p>
        </w:tc>
        <w:tc>
          <w:tcPr>
            <w:tcW w:w="8215" w:type="dxa"/>
          </w:tcPr>
          <w:p w14:paraId="7150FCF8" w14:textId="1165B7EC" w:rsidR="00495EBC" w:rsidRDefault="00495EBC">
            <w:pPr>
              <w:spacing w:after="0" w:line="240" w:lineRule="auto"/>
              <w:rPr>
                <w:rFonts w:cs="Arial"/>
                <w:lang w:val="en-US" w:eastAsia="nl-NL"/>
              </w:rPr>
            </w:pPr>
            <w:r w:rsidRPr="000C27C4">
              <w:rPr>
                <w:rFonts w:cs="Arial"/>
              </w:rPr>
              <w:t>No comments received</w:t>
            </w:r>
          </w:p>
        </w:tc>
      </w:tr>
    </w:tbl>
    <w:p w14:paraId="1F1F2059" w14:textId="77777777" w:rsidR="00495EBC" w:rsidRPr="005B5CFF" w:rsidRDefault="00495EBC">
      <w:pPr>
        <w:spacing w:after="0" w:line="240" w:lineRule="auto"/>
        <w:rPr>
          <w:rFonts w:cs="Arial"/>
          <w:lang w:val="en-US" w:eastAsia="nl-NL"/>
        </w:rPr>
      </w:pPr>
    </w:p>
    <w:p w14:paraId="499CD515"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20A74FC3" w14:textId="47B80F3E" w:rsidR="005415D2" w:rsidRDefault="00083003" w:rsidP="00AF3063">
      <w:pPr>
        <w:pStyle w:val="Heading1"/>
      </w:pPr>
      <w:bookmarkStart w:id="26" w:name="_Toc412646216"/>
      <w:bookmarkStart w:id="27" w:name="_Toc63846087"/>
      <w:r>
        <w:lastRenderedPageBreak/>
        <w:t>Mitigation measures</w:t>
      </w:r>
      <w:bookmarkEnd w:id="26"/>
      <w:bookmarkEnd w:id="27"/>
    </w:p>
    <w:p w14:paraId="4DABAA1B" w14:textId="6F4B6B22" w:rsidR="005415D2" w:rsidRDefault="00083003" w:rsidP="000C27C4">
      <w:pPr>
        <w:pStyle w:val="Heading2"/>
      </w:pPr>
      <w:bookmarkStart w:id="28" w:name="_Toc412646217"/>
      <w:bookmarkStart w:id="29" w:name="_Toc63846088"/>
      <w:r>
        <w:t>Mitigation measures</w:t>
      </w:r>
      <w:bookmarkEnd w:id="28"/>
      <w:bookmarkEnd w:id="29"/>
    </w:p>
    <w:p w14:paraId="4DA9A579" w14:textId="77777777" w:rsidR="005415D2" w:rsidRDefault="005415D2">
      <w:pPr>
        <w:rPr>
          <w:i/>
        </w:rPr>
      </w:pPr>
    </w:p>
    <w:p w14:paraId="003E00BB" w14:textId="77777777" w:rsidR="005415D2" w:rsidRPr="000C27C4"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12BB68C6" w14:textId="77777777" w:rsidTr="00A86ADB">
        <w:tc>
          <w:tcPr>
            <w:tcW w:w="2689" w:type="dxa"/>
          </w:tcPr>
          <w:p w14:paraId="46F93BB1" w14:textId="5DD7339D" w:rsidR="00A86ADB" w:rsidRDefault="00A86ADB">
            <w:pPr>
              <w:rPr>
                <w:rFonts w:cs="Arial"/>
                <w:b/>
                <w:bCs/>
                <w:iCs/>
              </w:rPr>
            </w:pPr>
            <w:r w:rsidRPr="000C27C4">
              <w:rPr>
                <w:rFonts w:cs="Arial"/>
                <w:b/>
                <w:bCs/>
                <w:iCs/>
              </w:rPr>
              <w:t>Country</w:t>
            </w:r>
            <w:r>
              <w:rPr>
                <w:rFonts w:cs="Arial"/>
                <w:b/>
                <w:bCs/>
                <w:iCs/>
              </w:rPr>
              <w:t>:</w:t>
            </w:r>
          </w:p>
        </w:tc>
        <w:tc>
          <w:tcPr>
            <w:tcW w:w="6939" w:type="dxa"/>
          </w:tcPr>
          <w:p w14:paraId="6273E23F" w14:textId="179F8691" w:rsidR="00A86ADB" w:rsidRPr="00A86ADB" w:rsidRDefault="00A86ADB">
            <w:pPr>
              <w:rPr>
                <w:rFonts w:cs="Arial"/>
              </w:rPr>
            </w:pPr>
            <w:r w:rsidRPr="000C27C4">
              <w:rPr>
                <w:rFonts w:cs="Arial"/>
              </w:rPr>
              <w:t>Lithuania</w:t>
            </w:r>
          </w:p>
        </w:tc>
      </w:tr>
      <w:tr w:rsidR="00A86ADB" w14:paraId="09EE6E30" w14:textId="77777777" w:rsidTr="00A86ADB">
        <w:tc>
          <w:tcPr>
            <w:tcW w:w="2689" w:type="dxa"/>
          </w:tcPr>
          <w:p w14:paraId="3AAF3E42" w14:textId="23E3FE34"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6FF44B02" w14:textId="1173C88A" w:rsidR="00A86ADB" w:rsidRPr="00A86ADB" w:rsidRDefault="00A86ADB">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tc>
      </w:tr>
      <w:tr w:rsidR="00A86ADB" w14:paraId="21865A89" w14:textId="77777777" w:rsidTr="00A86ADB">
        <w:tc>
          <w:tcPr>
            <w:tcW w:w="2689" w:type="dxa"/>
          </w:tcPr>
          <w:p w14:paraId="1B05CEA1" w14:textId="7C9BE781" w:rsidR="00A86ADB" w:rsidRDefault="00A86ADB">
            <w:pPr>
              <w:rPr>
                <w:rFonts w:cs="Arial"/>
                <w:b/>
                <w:bCs/>
                <w:iCs/>
              </w:rPr>
            </w:pPr>
            <w:r w:rsidRPr="000C27C4">
              <w:rPr>
                <w:rFonts w:cs="Arial"/>
                <w:b/>
                <w:bCs/>
              </w:rPr>
              <w:t>Specific risk description</w:t>
            </w:r>
            <w:r>
              <w:rPr>
                <w:rFonts w:cs="Arial"/>
                <w:b/>
                <w:bCs/>
              </w:rPr>
              <w:t>:</w:t>
            </w:r>
          </w:p>
        </w:tc>
        <w:tc>
          <w:tcPr>
            <w:tcW w:w="6939" w:type="dxa"/>
          </w:tcPr>
          <w:p w14:paraId="1CAE53C5" w14:textId="77777777" w:rsidR="00000000" w:rsidRDefault="00131D2D">
            <w:pPr>
              <w:spacing w:line="260" w:lineRule="atLeast"/>
              <w:divId w:val="1446578784"/>
              <w:rPr>
                <w:rFonts w:eastAsia="Times New Roman" w:cs="Arial"/>
                <w:spacing w:val="1"/>
              </w:rPr>
            </w:pPr>
            <w:r>
              <w:rPr>
                <w:rFonts w:eastAsia="Times New Roman" w:cs="Arial"/>
                <w:spacing w:val="1"/>
              </w:rPr>
              <w:t>Specified risk. Indicator 2.1.2 related to areas with WKH - woodland key habitats. </w:t>
            </w:r>
          </w:p>
        </w:tc>
      </w:tr>
      <w:tr w:rsidR="00A86ADB" w14:paraId="02149AFC" w14:textId="77777777" w:rsidTr="00A86ADB">
        <w:tc>
          <w:tcPr>
            <w:tcW w:w="2689" w:type="dxa"/>
          </w:tcPr>
          <w:p w14:paraId="3A4BF0EB" w14:textId="040D3F2C" w:rsidR="00A86ADB" w:rsidRDefault="00A86ADB">
            <w:pPr>
              <w:rPr>
                <w:rFonts w:cs="Arial"/>
                <w:b/>
                <w:bCs/>
                <w:iCs/>
              </w:rPr>
            </w:pPr>
            <w:r w:rsidRPr="000C27C4">
              <w:rPr>
                <w:rFonts w:cs="Arial"/>
                <w:b/>
                <w:bCs/>
              </w:rPr>
              <w:t>Mitigation measure</w:t>
            </w:r>
            <w:r>
              <w:rPr>
                <w:rFonts w:cs="Arial"/>
                <w:b/>
                <w:bCs/>
              </w:rPr>
              <w:t>:</w:t>
            </w:r>
          </w:p>
        </w:tc>
        <w:tc>
          <w:tcPr>
            <w:tcW w:w="6939" w:type="dxa"/>
          </w:tcPr>
          <w:p w14:paraId="19124145" w14:textId="77777777" w:rsidR="00000000" w:rsidRDefault="00131D2D">
            <w:pPr>
              <w:spacing w:line="260" w:lineRule="atLeast"/>
              <w:divId w:val="1724868019"/>
              <w:rPr>
                <w:rFonts w:eastAsia="Times New Roman" w:cs="Arial"/>
                <w:spacing w:val="1"/>
              </w:rPr>
            </w:pPr>
            <w:r>
              <w:rPr>
                <w:rFonts w:eastAsia="Times New Roman" w:cs="Arial"/>
                <w:spacing w:val="1"/>
              </w:rPr>
              <w:t>The supplier overview must contain: Cadastral number, Block number and Compartment number</w:t>
            </w:r>
            <w:r>
              <w:rPr>
                <w:rFonts w:eastAsia="Times New Roman" w:cs="Arial"/>
                <w:spacing w:val="1"/>
              </w:rPr>
              <w:t>.</w:t>
            </w:r>
          </w:p>
          <w:p w14:paraId="6C5EC510" w14:textId="77777777" w:rsidR="00000000" w:rsidRDefault="00131D2D">
            <w:pPr>
              <w:spacing w:line="260" w:lineRule="atLeast"/>
              <w:divId w:val="663775204"/>
              <w:rPr>
                <w:rFonts w:eastAsia="Times New Roman" w:cs="Arial"/>
                <w:spacing w:val="1"/>
              </w:rPr>
            </w:pPr>
            <w:r>
              <w:rPr>
                <w:rFonts w:eastAsia="Times New Roman" w:cs="Arial"/>
                <w:spacing w:val="1"/>
              </w:rPr>
              <w:t>The supplier checks all property numbers on the Date base WKH for Lithuania</w:t>
            </w:r>
            <w:r>
              <w:rPr>
                <w:rFonts w:eastAsia="Times New Roman" w:cs="Arial"/>
                <w:spacing w:val="1"/>
              </w:rPr>
              <w:t>.</w:t>
            </w:r>
          </w:p>
          <w:p w14:paraId="0ABADE38" w14:textId="77777777" w:rsidR="00000000" w:rsidRDefault="00131D2D">
            <w:pPr>
              <w:spacing w:line="260" w:lineRule="atLeast"/>
              <w:divId w:val="750781734"/>
              <w:rPr>
                <w:rFonts w:eastAsia="Times New Roman" w:cs="Arial"/>
                <w:spacing w:val="1"/>
              </w:rPr>
            </w:pPr>
            <w:r>
              <w:rPr>
                <w:rFonts w:eastAsia="Times New Roman" w:cs="Arial"/>
                <w:spacing w:val="1"/>
              </w:rPr>
              <w:t xml:space="preserve">The outside forests supplier checks all </w:t>
            </w:r>
            <w:r>
              <w:rPr>
                <w:rFonts w:eastAsia="Times New Roman" w:cs="Arial"/>
                <w:spacing w:val="1"/>
              </w:rPr>
              <w:t>properties’ numbers on State Cadastre Maps of Protected Areas.</w:t>
            </w:r>
          </w:p>
          <w:p w14:paraId="3DEBB0EF" w14:textId="77777777" w:rsidR="00000000" w:rsidRDefault="00131D2D">
            <w:pPr>
              <w:spacing w:line="260" w:lineRule="atLeast"/>
              <w:divId w:val="291519966"/>
              <w:rPr>
                <w:rFonts w:eastAsia="Times New Roman" w:cs="Arial"/>
                <w:spacing w:val="1"/>
              </w:rPr>
            </w:pPr>
            <w:r>
              <w:rPr>
                <w:rFonts w:eastAsia="Times New Roman" w:cs="Arial"/>
                <w:spacing w:val="1"/>
              </w:rPr>
              <w:t xml:space="preserve">Material from WKH cannot be trade to </w:t>
            </w:r>
            <w:proofErr w:type="spellStart"/>
            <w:r>
              <w:rPr>
                <w:rFonts w:eastAsia="Times New Roman" w:cs="Arial"/>
                <w:spacing w:val="1"/>
              </w:rPr>
              <w:t>Pusbroliai</w:t>
            </w:r>
            <w:proofErr w:type="spellEnd"/>
            <w:r>
              <w:rPr>
                <w:rFonts w:eastAsia="Times New Roman" w:cs="Arial"/>
                <w:spacing w:val="1"/>
              </w:rPr>
              <w:t xml:space="preserve"> UAB</w:t>
            </w:r>
            <w:r>
              <w:rPr>
                <w:rFonts w:eastAsia="Times New Roman" w:cs="Arial"/>
                <w:spacing w:val="1"/>
              </w:rPr>
              <w:t>.</w:t>
            </w:r>
          </w:p>
        </w:tc>
      </w:tr>
    </w:tbl>
    <w:p w14:paraId="3E54ADBA" w14:textId="7E68FE55"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4CE41DD3" w14:textId="77777777" w:rsidTr="00A86ADB">
        <w:tc>
          <w:tcPr>
            <w:tcW w:w="2689" w:type="dxa"/>
          </w:tcPr>
          <w:p w14:paraId="15EF8935" w14:textId="77777777" w:rsidR="00A86ADB" w:rsidRDefault="00A86ADB">
            <w:pPr>
              <w:rPr>
                <w:rFonts w:cs="Arial"/>
                <w:b/>
                <w:bCs/>
                <w:iCs/>
              </w:rPr>
            </w:pPr>
            <w:r w:rsidRPr="000C27C4">
              <w:rPr>
                <w:rFonts w:cs="Arial"/>
                <w:b/>
                <w:bCs/>
                <w:iCs/>
              </w:rPr>
              <w:t>Country</w:t>
            </w:r>
            <w:r>
              <w:rPr>
                <w:rFonts w:cs="Arial"/>
                <w:b/>
                <w:bCs/>
                <w:iCs/>
              </w:rPr>
              <w:t>:</w:t>
            </w:r>
          </w:p>
        </w:tc>
        <w:tc>
          <w:tcPr>
            <w:tcW w:w="6939" w:type="dxa"/>
          </w:tcPr>
          <w:p w14:paraId="216F7B91" w14:textId="77777777" w:rsidR="00A86ADB" w:rsidRPr="00A86ADB" w:rsidRDefault="00A86ADB">
            <w:pPr>
              <w:rPr>
                <w:rFonts w:cs="Arial"/>
              </w:rPr>
            </w:pPr>
            <w:r w:rsidRPr="000C27C4">
              <w:rPr>
                <w:rFonts w:cs="Arial"/>
              </w:rPr>
              <w:t>Lithuania</w:t>
            </w:r>
          </w:p>
        </w:tc>
      </w:tr>
      <w:tr w:rsidR="00A86ADB" w14:paraId="063C1731" w14:textId="77777777" w:rsidTr="00A86ADB">
        <w:tc>
          <w:tcPr>
            <w:tcW w:w="2689" w:type="dxa"/>
          </w:tcPr>
          <w:p w14:paraId="665911AD"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0207F484" w14:textId="77777777" w:rsidR="00A86ADB" w:rsidRPr="00A86ADB" w:rsidRDefault="00A86ADB">
            <w:pPr>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tc>
      </w:tr>
      <w:tr w:rsidR="00A86ADB" w14:paraId="2B11D8E5" w14:textId="77777777" w:rsidTr="00A86ADB">
        <w:tc>
          <w:tcPr>
            <w:tcW w:w="2689" w:type="dxa"/>
          </w:tcPr>
          <w:p w14:paraId="4A525EDC"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p w14:paraId="05EE8931" w14:textId="77777777" w:rsidR="00000000" w:rsidRDefault="00131D2D">
            <w:pPr>
              <w:spacing w:line="260" w:lineRule="atLeast"/>
              <w:divId w:val="1426921018"/>
              <w:rPr>
                <w:rFonts w:eastAsia="Times New Roman" w:cs="Arial"/>
                <w:spacing w:val="1"/>
              </w:rPr>
            </w:pPr>
            <w:r>
              <w:rPr>
                <w:rFonts w:eastAsia="Times New Roman" w:cs="Arial"/>
                <w:spacing w:val="1"/>
              </w:rPr>
              <w:t>Specified risk. Indicator 2.8.1 related to health and safety of forestry workers.</w:t>
            </w:r>
          </w:p>
        </w:tc>
      </w:tr>
      <w:tr w:rsidR="00A86ADB" w14:paraId="652482B4" w14:textId="77777777" w:rsidTr="00A86ADB">
        <w:tc>
          <w:tcPr>
            <w:tcW w:w="2689" w:type="dxa"/>
          </w:tcPr>
          <w:p w14:paraId="66BA9697"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5C87E9E3" w14:textId="77777777" w:rsidR="00000000" w:rsidRDefault="00131D2D">
            <w:pPr>
              <w:spacing w:line="260" w:lineRule="atLeast"/>
              <w:divId w:val="523178507"/>
              <w:rPr>
                <w:rFonts w:eastAsia="Times New Roman" w:cs="Arial"/>
                <w:spacing w:val="1"/>
              </w:rPr>
            </w:pPr>
            <w:r>
              <w:rPr>
                <w:rFonts w:eastAsia="Times New Roman" w:cs="Arial"/>
                <w:spacing w:val="1"/>
              </w:rPr>
              <w:t xml:space="preserve">The safety of forest workers is ensured by the suppliers having a complete overview of all employees in the company. It </w:t>
            </w:r>
            <w:r>
              <w:rPr>
                <w:rFonts w:eastAsia="Times New Roman" w:cs="Arial"/>
                <w:spacing w:val="1"/>
              </w:rPr>
              <w:t>is required that forest workers must undergo legally required certificates. In connection with the annual check, it is also ensured that everyone has the required safety equipment for working in the woods with chainsaws</w:t>
            </w:r>
            <w:r>
              <w:rPr>
                <w:rFonts w:eastAsia="Times New Roman" w:cs="Arial"/>
                <w:spacing w:val="1"/>
              </w:rPr>
              <w:t>.</w:t>
            </w:r>
          </w:p>
        </w:tc>
      </w:tr>
    </w:tbl>
    <w:p w14:paraId="44B71A0B" w14:textId="77777777" w:rsidR="005415D2" w:rsidRDefault="005415D2">
      <w:pPr>
        <w:spacing w:after="0" w:line="240" w:lineRule="auto"/>
        <w:rPr>
          <w:rFonts w:cs="Arial"/>
          <w:lang w:val="en-US" w:eastAsia="nl-NL"/>
        </w:rPr>
      </w:pPr>
    </w:p>
    <w:p w14:paraId="1CF1F6F2" w14:textId="77777777" w:rsidR="002C2A0D" w:rsidRPr="000C27C4" w:rsidRDefault="002C2A0D">
      <w:pPr>
        <w:spacing w:after="0" w:line="240" w:lineRule="auto"/>
        <w:rPr>
          <w:rFonts w:cs="Arial"/>
          <w:lang w:val="en-US" w:eastAsia="nl-NL"/>
        </w:rPr>
      </w:pPr>
    </w:p>
    <w:p w14:paraId="51998BF7" w14:textId="77D24483" w:rsidR="005415D2" w:rsidRDefault="00083003" w:rsidP="000C27C4">
      <w:pPr>
        <w:pStyle w:val="Heading2"/>
      </w:pPr>
      <w:bookmarkStart w:id="30" w:name="_Toc412646218"/>
      <w:bookmarkStart w:id="31" w:name="_Toc63846089"/>
      <w:r>
        <w:t>Monitoring and outcomes</w:t>
      </w:r>
      <w:bookmarkEnd w:id="30"/>
      <w:bookmarkEnd w:id="31"/>
    </w:p>
    <w:p w14:paraId="16A30289" w14:textId="77777777" w:rsidR="00000000" w:rsidRDefault="00131D2D" w:rsidP="00131D2D">
      <w:pPr>
        <w:spacing w:line="260" w:lineRule="atLeast"/>
        <w:jc w:val="both"/>
        <w:divId w:val="1064181088"/>
        <w:rPr>
          <w:rFonts w:eastAsia="Times New Roman" w:cs="Arial"/>
          <w:spacing w:val="1"/>
        </w:rPr>
      </w:pPr>
      <w:r>
        <w:rPr>
          <w:rFonts w:eastAsia="Times New Roman" w:cs="Arial"/>
          <w:spacing w:val="1"/>
        </w:rPr>
        <w:t xml:space="preserve">WKHs is checked from the Environment Agency database. Valid forest notices are listed in the Forest Registry database. </w:t>
      </w:r>
      <w:r>
        <w:rPr>
          <w:rFonts w:eastAsia="Times New Roman" w:cs="Arial"/>
          <w:spacing w:val="1"/>
        </w:rPr>
        <w:t xml:space="preserve">Proof of ownership is checked in the Land Register. There is checking all deliveries without an FSC or PEFC certification, to guarantee, that they are not sourced from a WKH or protectable territories. Documents of origin and databases mentioned above are </w:t>
      </w:r>
      <w:r>
        <w:rPr>
          <w:rFonts w:eastAsia="Times New Roman" w:cs="Arial"/>
          <w:spacing w:val="1"/>
        </w:rPr>
        <w:t>used for the purpose.</w:t>
      </w:r>
    </w:p>
    <w:p w14:paraId="06A50AAE" w14:textId="77777777" w:rsidR="00000000" w:rsidRDefault="00131D2D" w:rsidP="00131D2D">
      <w:pPr>
        <w:spacing w:line="260" w:lineRule="atLeast"/>
        <w:jc w:val="both"/>
        <w:divId w:val="263264873"/>
        <w:rPr>
          <w:rFonts w:eastAsia="Times New Roman" w:cs="Arial"/>
          <w:spacing w:val="1"/>
        </w:rPr>
      </w:pPr>
      <w:r>
        <w:rPr>
          <w:rFonts w:eastAsia="Times New Roman" w:cs="Arial"/>
          <w:spacing w:val="1"/>
        </w:rPr>
        <w:lastRenderedPageBreak/>
        <w:t>During reporting period have not been shown any instances of material that has been sourced from WKH or protectable areas or that is of dubious origin. All documents are inspected for each client and each patch, on-site checks are con</w:t>
      </w:r>
      <w:r>
        <w:rPr>
          <w:rFonts w:eastAsia="Times New Roman" w:cs="Arial"/>
          <w:spacing w:val="1"/>
        </w:rPr>
        <w:t>ducted when necessary</w:t>
      </w:r>
      <w:r>
        <w:rPr>
          <w:rFonts w:eastAsia="Times New Roman" w:cs="Arial"/>
          <w:spacing w:val="1"/>
        </w:rPr>
        <w:t>.</w:t>
      </w:r>
    </w:p>
    <w:p w14:paraId="04975E93" w14:textId="77777777" w:rsidR="00000000" w:rsidRDefault="00131D2D" w:rsidP="00131D2D">
      <w:pPr>
        <w:spacing w:line="260" w:lineRule="atLeast"/>
        <w:jc w:val="both"/>
        <w:divId w:val="1039283959"/>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with all wood harvesting companies and their sub-contractors, and service providers sign the contract to remain very aware that the supplier ensures that all forest workers use the correct safety </w:t>
      </w:r>
      <w:proofErr w:type="gramStart"/>
      <w:r>
        <w:rPr>
          <w:rFonts w:eastAsia="Times New Roman" w:cs="Arial"/>
          <w:spacing w:val="1"/>
        </w:rPr>
        <w:t>equipment</w:t>
      </w:r>
      <w:proofErr w:type="gramEnd"/>
      <w:r>
        <w:rPr>
          <w:rFonts w:eastAsia="Times New Roman" w:cs="Arial"/>
          <w:spacing w:val="1"/>
        </w:rPr>
        <w:t xml:space="preserve"> and all work</w:t>
      </w:r>
      <w:r>
        <w:rPr>
          <w:rFonts w:eastAsia="Times New Roman" w:cs="Arial"/>
          <w:spacing w:val="1"/>
        </w:rPr>
        <w:t>s meet the requirements of work safety.</w:t>
      </w:r>
      <w:r>
        <w:rPr>
          <w:rFonts w:eastAsia="Times New Roman" w:cs="Arial"/>
          <w:spacing w:val="1"/>
        </w:rPr>
        <w:t> </w:t>
      </w:r>
    </w:p>
    <w:p w14:paraId="062F73B9" w14:textId="66FD47A4" w:rsidR="005415D2" w:rsidRDefault="00083003" w:rsidP="00AF3063">
      <w:pPr>
        <w:pStyle w:val="Heading1"/>
      </w:pPr>
      <w:bookmarkStart w:id="32" w:name="_Toc412646219"/>
      <w:bookmarkStart w:id="33" w:name="_Toc63846090"/>
      <w:r>
        <w:lastRenderedPageBreak/>
        <w:t>Detailed findings for indicators</w:t>
      </w:r>
      <w:bookmarkEnd w:id="32"/>
      <w:bookmarkEnd w:id="33"/>
    </w:p>
    <w:p w14:paraId="65772E36" w14:textId="77777777" w:rsidR="005415D2" w:rsidRDefault="00083003" w:rsidP="00131D2D">
      <w:pPr>
        <w:jc w:val="both"/>
      </w:pPr>
      <w:r>
        <w:t xml:space="preserve">Detailed findings for each Indicator are given in Annex 1 in case the Regional Risk Assessment (RRA) is not used. </w:t>
      </w:r>
    </w:p>
    <w:p w14:paraId="2834BBB0" w14:textId="77777777" w:rsidR="005415D2" w:rsidRDefault="00083003">
      <w:pPr>
        <w:spacing w:line="276" w:lineRule="auto"/>
      </w:pPr>
      <w:r>
        <w:rPr>
          <w:b/>
          <w:bCs/>
        </w:rPr>
        <w:t xml:space="preserve">Is RRA used? </w:t>
      </w:r>
      <w:r>
        <w:t>Yes</w:t>
      </w:r>
    </w:p>
    <w:p w14:paraId="0A112243" w14:textId="5AEB9E5E" w:rsidR="005415D2" w:rsidRDefault="00083003" w:rsidP="00AF3063">
      <w:pPr>
        <w:pStyle w:val="Heading1"/>
      </w:pPr>
      <w:bookmarkStart w:id="34" w:name="_Toc412646220"/>
      <w:bookmarkStart w:id="35" w:name="_Toc63846091"/>
      <w:r>
        <w:lastRenderedPageBreak/>
        <w:t>Review of report</w:t>
      </w:r>
      <w:bookmarkEnd w:id="34"/>
      <w:bookmarkEnd w:id="35"/>
    </w:p>
    <w:p w14:paraId="4E5C1737" w14:textId="3EA24A90" w:rsidR="005415D2" w:rsidRDefault="00083003" w:rsidP="000C27C4">
      <w:pPr>
        <w:pStyle w:val="Heading2"/>
      </w:pPr>
      <w:bookmarkStart w:id="36" w:name="_Toc412646221"/>
      <w:bookmarkStart w:id="37" w:name="_Toc63846092"/>
      <w:r>
        <w:t>Peer review</w:t>
      </w:r>
      <w:bookmarkEnd w:id="36"/>
      <w:bookmarkEnd w:id="37"/>
    </w:p>
    <w:p w14:paraId="3DF37FA2" w14:textId="77777777" w:rsidR="005415D2" w:rsidRDefault="00083003">
      <w:r>
        <w:t>No peer review was done during this report period.</w:t>
      </w:r>
    </w:p>
    <w:p w14:paraId="41743DD9" w14:textId="41C92B28" w:rsidR="005415D2" w:rsidRDefault="00083003" w:rsidP="000C27C4">
      <w:pPr>
        <w:pStyle w:val="Heading2"/>
      </w:pPr>
      <w:bookmarkStart w:id="38" w:name="_Toc412646222"/>
      <w:bookmarkStart w:id="39" w:name="_Toc63846093"/>
      <w:r>
        <w:t>Public or additional reviews</w:t>
      </w:r>
      <w:bookmarkEnd w:id="38"/>
      <w:bookmarkEnd w:id="39"/>
      <w:r>
        <w:t xml:space="preserve"> </w:t>
      </w:r>
    </w:p>
    <w:p w14:paraId="23757910" w14:textId="77777777" w:rsidR="005415D2" w:rsidRDefault="00083003">
      <w:r>
        <w:t>No additional reports or additional information.</w:t>
      </w:r>
    </w:p>
    <w:p w14:paraId="6CB21C5F" w14:textId="2D6DCD53" w:rsidR="005415D2" w:rsidRDefault="00083003" w:rsidP="00AF3063">
      <w:pPr>
        <w:pStyle w:val="Heading1"/>
      </w:pPr>
      <w:bookmarkStart w:id="40" w:name="_Toc412646223"/>
      <w:bookmarkStart w:id="41" w:name="_Toc63846094"/>
      <w:r>
        <w:lastRenderedPageBreak/>
        <w:t>Approval of report</w:t>
      </w:r>
      <w:bookmarkEnd w:id="40"/>
      <w:bookmarkEnd w:id="41"/>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5"/>
        <w:gridCol w:w="2381"/>
        <w:gridCol w:w="2463"/>
        <w:gridCol w:w="3619"/>
      </w:tblGrid>
      <w:tr w:rsidR="005415D2" w14:paraId="391A2A92"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006691"/>
            <w:vAlign w:val="center"/>
            <w:hideMark/>
          </w:tcPr>
          <w:p w14:paraId="07F7663F" w14:textId="77777777" w:rsidR="005415D2" w:rsidRDefault="00083003">
            <w:pPr>
              <w:spacing w:before="120" w:after="0" w:line="240" w:lineRule="auto"/>
              <w:rPr>
                <w:b/>
                <w:lang w:val="en-US"/>
              </w:rPr>
            </w:pPr>
            <w:r>
              <w:rPr>
                <w:b/>
                <w:color w:val="FFFFFF" w:themeColor="background1"/>
                <w:lang w:val="en-US"/>
              </w:rPr>
              <w:t xml:space="preserve">Approval of Supply Base Report by senior management </w:t>
            </w:r>
            <w:r>
              <w:t xml:space="preserve">N/A </w:t>
            </w:r>
          </w:p>
        </w:tc>
      </w:tr>
      <w:tr w:rsidR="005415D2" w14:paraId="1B056875" w14:textId="77777777" w:rsidTr="002C2A0D">
        <w:trPr>
          <w:trHeight w:val="413"/>
        </w:trPr>
        <w:tc>
          <w:tcPr>
            <w:tcW w:w="1165" w:type="dxa"/>
            <w:tcBorders>
              <w:top w:val="single" w:sz="4" w:space="0" w:color="auto"/>
              <w:left w:val="single" w:sz="4" w:space="0" w:color="auto"/>
              <w:bottom w:val="single" w:sz="4" w:space="0" w:color="auto"/>
              <w:right w:val="single" w:sz="4" w:space="0" w:color="auto"/>
            </w:tcBorders>
            <w:vAlign w:val="center"/>
            <w:hideMark/>
          </w:tcPr>
          <w:p w14:paraId="527399FA" w14:textId="77777777" w:rsidR="005415D2" w:rsidRDefault="005415D2">
            <w:pPr>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tcPr>
          <w:p w14:paraId="37E6F4A5" w14:textId="77777777" w:rsidR="005415D2" w:rsidRDefault="005415D2">
            <w:pPr>
              <w:spacing w:before="120" w:after="0" w:line="240" w:lineRule="auto"/>
              <w:rPr>
                <w:b/>
                <w:lang w:val="en-US"/>
              </w:rPr>
            </w:pP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tcPr>
          <w:p w14:paraId="32443C34" w14:textId="77777777" w:rsidR="005415D2" w:rsidRDefault="005415D2">
            <w:pPr>
              <w:spacing w:before="120" w:after="0" w:line="240" w:lineRule="auto"/>
              <w:rPr>
                <w:b/>
                <w:lang w:val="en-US"/>
              </w:rPr>
            </w:pP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tcPr>
          <w:p w14:paraId="7EC65DB2" w14:textId="77777777" w:rsidR="005415D2" w:rsidRDefault="005415D2">
            <w:pPr>
              <w:spacing w:before="120" w:after="0" w:line="240" w:lineRule="auto"/>
              <w:rPr>
                <w:b/>
                <w:lang w:val="en-US"/>
              </w:rPr>
            </w:pPr>
          </w:p>
        </w:tc>
      </w:tr>
      <w:tr w:rsidR="005415D2" w14:paraId="4088F3C0"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F2F1F1"/>
            <w:vAlign w:val="center"/>
            <w:hideMark/>
          </w:tcPr>
          <w:p w14:paraId="39850E78" w14:textId="77777777" w:rsidR="005415D2" w:rsidRDefault="00083003">
            <w:pPr>
              <w:spacing w:before="120" w:after="120" w:line="240" w:lineRule="auto"/>
              <w:rPr>
                <w:b/>
                <w:lang w:val="en-US"/>
              </w:rPr>
            </w:pPr>
            <w:r>
              <w:rPr>
                <w:b/>
                <w:lang w:val="en-US"/>
              </w:rPr>
              <w:t xml:space="preserve">The undersigned persons confirm that I/we are members of the </w:t>
            </w:r>
            <w:proofErr w:type="spellStart"/>
            <w:r>
              <w:rPr>
                <w:b/>
                <w:lang w:val="en-US"/>
              </w:rPr>
              <w:t>organisation’s</w:t>
            </w:r>
            <w:proofErr w:type="spellEnd"/>
            <w:r>
              <w:rPr>
                <w:b/>
                <w:lang w:val="en-US"/>
              </w:rPr>
              <w:t xml:space="preserve"> senior management and do hereby affirm that the contents of this evaluation report were duly acknowledged by senior management as being accurate prior to approval and </w:t>
            </w:r>
            <w:proofErr w:type="spellStart"/>
            <w:r>
              <w:rPr>
                <w:b/>
                <w:lang w:val="en-US"/>
              </w:rPr>
              <w:t>finalisation</w:t>
            </w:r>
            <w:proofErr w:type="spellEnd"/>
            <w:r>
              <w:rPr>
                <w:b/>
                <w:lang w:val="en-US"/>
              </w:rPr>
              <w:t xml:space="preserve"> of the report. </w:t>
            </w:r>
            <w:r>
              <w:t xml:space="preserve">N/A </w:t>
            </w:r>
          </w:p>
        </w:tc>
      </w:tr>
    </w:tbl>
    <w:p w14:paraId="0EB28A27" w14:textId="5F053330" w:rsidR="005415D2" w:rsidRDefault="00083003" w:rsidP="007A2025">
      <w:pPr>
        <w:pStyle w:val="Heading1"/>
        <w:numPr>
          <w:ilvl w:val="0"/>
          <w:numId w:val="0"/>
        </w:numPr>
        <w:ind w:left="360"/>
      </w:pPr>
      <w:bookmarkStart w:id="42" w:name="_Toc63846095"/>
      <w:r>
        <w:lastRenderedPageBreak/>
        <w:t>Annex 1: Detailed findings for Supply Base Evaluation indicators</w:t>
      </w:r>
      <w:bookmarkEnd w:id="42"/>
    </w:p>
    <w:p w14:paraId="008BF084" w14:textId="77777777" w:rsidR="005415D2" w:rsidRDefault="005415D2"/>
    <w:p w14:paraId="1396A6A3" w14:textId="77777777" w:rsidR="005415D2" w:rsidRPr="005B5CFF" w:rsidRDefault="00083003">
      <w:pPr>
        <w:spacing w:after="0" w:line="240" w:lineRule="auto"/>
        <w:rPr>
          <w:rFonts w:cs="Arial"/>
          <w:lang w:val="en-US" w:eastAsia="nl-NL"/>
        </w:rPr>
      </w:pPr>
      <w:r w:rsidRPr="005B5CFF">
        <w:rPr>
          <w:rFonts w:cs="Arial"/>
          <w:lang w:val="en-US" w:eastAsia="nl-NL"/>
        </w:rPr>
        <w:t xml:space="preserve">N/A </w:t>
      </w:r>
    </w:p>
    <w:p w14:paraId="2CDB55B0" w14:textId="77777777" w:rsidR="00083003" w:rsidRDefault="00083003">
      <w:pPr>
        <w:ind w:left="720"/>
        <w:rPr>
          <w:lang w:val="en-US"/>
        </w:rPr>
      </w:pPr>
    </w:p>
    <w:sectPr w:rsidR="00083003">
      <w:pgSz w:w="11906" w:h="16838"/>
      <w:pgMar w:top="1560" w:right="1134" w:bottom="1134" w:left="1134" w:header="1134" w:footer="680" w:gutter="0"/>
      <w:pgNumType w:fmt="lowerRoman"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Montserrat ExtraBold">
    <w:charset w:val="BA"/>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Montserrat">
    <w:charset w:val="BA"/>
    <w:family w:val="auto"/>
    <w:pitch w:val="variable"/>
    <w:sig w:usb0="2000020F" w:usb1="00000003" w:usb2="00000000" w:usb3="00000000" w:csb0="00000197" w:csb1="00000000"/>
  </w:font>
  <w:font w:name="Montserrat Light">
    <w:charset w:val="BA"/>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4B2"/>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 w15:restartNumberingAfterBreak="0">
    <w:nsid w:val="1AD93868"/>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2A019F9"/>
    <w:multiLevelType w:val="multilevel"/>
    <w:tmpl w:val="65387B76"/>
    <w:styleLink w:val="SBP"/>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E8255D"/>
    <w:multiLevelType w:val="hybridMultilevel"/>
    <w:tmpl w:val="45960FAE"/>
    <w:lvl w:ilvl="0" w:tplc="DAFC8002">
      <w:start w:val="1"/>
      <w:numFmt w:val="bullet"/>
      <w:pStyle w:val="Lijstalinea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C73E5"/>
    <w:multiLevelType w:val="multilevel"/>
    <w:tmpl w:val="9AFE763E"/>
    <w:lvl w:ilvl="0">
      <w:start w:val="1"/>
      <w:numFmt w:val="decimal"/>
      <w:pStyle w:val="Heading1"/>
      <w:lvlText w:val="%1"/>
      <w:lvlJc w:val="left"/>
      <w:pPr>
        <w:ind w:left="360" w:hanging="360"/>
      </w:pPr>
    </w:lvl>
    <w:lvl w:ilvl="1">
      <w:start w:val="1"/>
      <w:numFmt w:val="decimal"/>
      <w:pStyle w:val="Heading2"/>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5"/>
  </w:num>
  <w:num w:numId="3">
    <w:abstractNumId w:val="1"/>
  </w:num>
  <w:num w:numId="4">
    <w:abstractNumId w:val="1"/>
  </w:num>
  <w:num w:numId="5">
    <w:abstractNumId w:val="4"/>
  </w:num>
  <w:num w:numId="6">
    <w:abstractNumId w:val="4"/>
  </w:num>
  <w:num w:numId="7">
    <w:abstractNumId w:val="6"/>
  </w:num>
  <w:num w:numId="8">
    <w:abstractNumId w:val="6"/>
  </w:num>
  <w:num w:numId="9">
    <w:abstractNumId w:val="0"/>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hyphenationZone w:val="420"/>
  <w:drawingGridHorizontalSpacing w:val="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9"/>
    <w:rsid w:val="00083003"/>
    <w:rsid w:val="000C27C4"/>
    <w:rsid w:val="00131D2D"/>
    <w:rsid w:val="002A35D6"/>
    <w:rsid w:val="002C2A0D"/>
    <w:rsid w:val="00486E3A"/>
    <w:rsid w:val="00495EBC"/>
    <w:rsid w:val="005415D2"/>
    <w:rsid w:val="005559E1"/>
    <w:rsid w:val="0059791E"/>
    <w:rsid w:val="005B5CFF"/>
    <w:rsid w:val="005F2821"/>
    <w:rsid w:val="006C3DE1"/>
    <w:rsid w:val="006C619A"/>
    <w:rsid w:val="00725DC4"/>
    <w:rsid w:val="007A2025"/>
    <w:rsid w:val="00833D61"/>
    <w:rsid w:val="00870755"/>
    <w:rsid w:val="00931148"/>
    <w:rsid w:val="00A23639"/>
    <w:rsid w:val="00A86ADB"/>
    <w:rsid w:val="00AF3063"/>
    <w:rsid w:val="00E659A8"/>
    <w:rsid w:val="00EC24CB"/>
    <w:rsid w:val="00F748D7"/>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6CD0C"/>
  <w15:chartTrackingRefBased/>
  <w15:docId w15:val="{D61AB833-227B-4CC9-ADCD-BA83CD0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4"/>
    <w:pPr>
      <w:spacing w:after="200" w:line="312" w:lineRule="auto"/>
    </w:pPr>
    <w:rPr>
      <w:rFonts w:ascii="Arial" w:hAnsi="Arial"/>
    </w:rPr>
  </w:style>
  <w:style w:type="paragraph" w:styleId="Heading1">
    <w:name w:val="heading 1"/>
    <w:basedOn w:val="Normal"/>
    <w:link w:val="Heading1Char"/>
    <w:autoRedefine/>
    <w:qFormat/>
    <w:rsid w:val="00AF3063"/>
    <w:pPr>
      <w:keepNext/>
      <w:keepLines/>
      <w:pageBreakBefore/>
      <w:numPr>
        <w:numId w:val="8"/>
      </w:numPr>
      <w:spacing w:before="480" w:after="240" w:line="276" w:lineRule="auto"/>
      <w:outlineLvl w:val="0"/>
    </w:pPr>
    <w:rPr>
      <w:rFonts w:ascii="Montserrat ExtraBold" w:eastAsiaTheme="majorEastAsia" w:hAnsi="Montserrat ExtraBold" w:cstheme="majorBidi"/>
      <w:bCs/>
      <w:color w:val="006890"/>
      <w:sz w:val="36"/>
      <w:szCs w:val="48"/>
    </w:rPr>
  </w:style>
  <w:style w:type="paragraph" w:styleId="Heading2">
    <w:name w:val="heading 2"/>
    <w:basedOn w:val="Normal"/>
    <w:link w:val="Heading2Char"/>
    <w:unhideWhenUsed/>
    <w:qFormat/>
    <w:rsid w:val="000C27C4"/>
    <w:pPr>
      <w:numPr>
        <w:ilvl w:val="1"/>
        <w:numId w:val="8"/>
      </w:numPr>
      <w:ind w:left="360"/>
      <w:outlineLvl w:val="1"/>
    </w:pPr>
    <w:rPr>
      <w:rFonts w:ascii="Montserrat ExtraBold" w:eastAsiaTheme="minorEastAsia" w:hAnsi="Montserrat ExtraBold"/>
      <w:color w:val="006891"/>
      <w:sz w:val="32"/>
    </w:rPr>
  </w:style>
  <w:style w:type="paragraph" w:styleId="Heading3">
    <w:name w:val="heading 3"/>
    <w:basedOn w:val="Normal"/>
    <w:link w:val="Heading3Char"/>
    <w:semiHidden/>
    <w:unhideWhenUsed/>
    <w:qFormat/>
    <w:pPr>
      <w:outlineLvl w:val="2"/>
    </w:pPr>
    <w:rPr>
      <w:rFonts w:eastAsiaTheme="minorEastAsia"/>
    </w:rPr>
  </w:style>
  <w:style w:type="paragraph" w:styleId="Heading4">
    <w:name w:val="heading 4"/>
    <w:basedOn w:val="Normal"/>
    <w:link w:val="Heading4Char"/>
    <w:uiPriority w:val="9"/>
    <w:semiHidden/>
    <w:unhideWhenUsed/>
    <w:qFormat/>
    <w:pPr>
      <w:outlineLvl w:val="3"/>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Kop1Char">
    <w:name w:val="Kop 1 Char"/>
    <w:basedOn w:val="DefaultParagraphFont"/>
    <w:link w:val="Kop11"/>
    <w:uiPriority w:val="9"/>
    <w:locked/>
    <w:rPr>
      <w:rFonts w:asciiTheme="majorHAnsi" w:eastAsiaTheme="majorEastAsia" w:hAnsiTheme="majorHAnsi" w:cstheme="majorBidi" w:hint="default"/>
      <w:bCs/>
      <w:color w:val="006890"/>
      <w:sz w:val="48"/>
      <w:szCs w:val="48"/>
    </w:rPr>
  </w:style>
  <w:style w:type="character" w:customStyle="1" w:styleId="Kop2Char">
    <w:name w:val="Kop 2 Char"/>
    <w:basedOn w:val="DefaultParagraphFont"/>
    <w:link w:val="Kop21"/>
    <w:semiHidden/>
    <w:locked/>
    <w:rPr>
      <w:rFonts w:asciiTheme="majorHAnsi" w:eastAsiaTheme="majorEastAsia" w:hAnsiTheme="majorHAnsi" w:cstheme="majorBidi" w:hint="default"/>
      <w:color w:val="3D946D"/>
      <w:sz w:val="36"/>
      <w:szCs w:val="36"/>
    </w:rPr>
  </w:style>
  <w:style w:type="character" w:customStyle="1" w:styleId="Kop3Char">
    <w:name w:val="Kop 3 Char"/>
    <w:basedOn w:val="DefaultParagraphFont"/>
    <w:link w:val="Kop31"/>
    <w:uiPriority w:val="9"/>
    <w:semiHidden/>
    <w:locked/>
    <w:rPr>
      <w:rFonts w:asciiTheme="majorHAnsi" w:eastAsiaTheme="majorEastAsia" w:hAnsiTheme="majorHAnsi" w:cstheme="majorBidi" w:hint="default"/>
      <w:bCs/>
      <w:color w:val="3D946D"/>
      <w:sz w:val="32"/>
      <w:szCs w:val="32"/>
    </w:rPr>
  </w:style>
  <w:style w:type="character" w:customStyle="1" w:styleId="Kop4Char">
    <w:name w:val="Kop 4 Char"/>
    <w:basedOn w:val="DefaultParagraphFont"/>
    <w:link w:val="Kop41"/>
    <w:uiPriority w:val="9"/>
    <w:semiHidden/>
    <w:locked/>
    <w:rPr>
      <w:rFonts w:asciiTheme="majorHAnsi" w:eastAsiaTheme="majorEastAsia" w:hAnsiTheme="majorHAnsi" w:cstheme="majorBidi" w:hint="default"/>
      <w:bCs/>
      <w:iCs/>
      <w:color w:val="3D946D"/>
      <w:sz w:val="28"/>
      <w:szCs w:val="28"/>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andaard1">
    <w:name w:val="Standaard1"/>
    <w:basedOn w:val="Normal"/>
  </w:style>
  <w:style w:type="paragraph" w:styleId="TOC1">
    <w:name w:val="toc 1"/>
    <w:basedOn w:val="Normal"/>
    <w:next w:val="Standaard1"/>
    <w:autoRedefine/>
    <w:uiPriority w:val="39"/>
    <w:unhideWhenUsed/>
    <w:pPr>
      <w:tabs>
        <w:tab w:val="left" w:pos="567"/>
        <w:tab w:val="right" w:leader="dot" w:pos="9639"/>
      </w:tabs>
      <w:spacing w:after="100"/>
      <w:ind w:left="567" w:hanging="567"/>
    </w:pPr>
    <w:rPr>
      <w:b/>
      <w:noProof/>
    </w:rPr>
  </w:style>
  <w:style w:type="paragraph" w:styleId="TOC2">
    <w:name w:val="toc 2"/>
    <w:basedOn w:val="Normal"/>
    <w:next w:val="Standaard1"/>
    <w:autoRedefine/>
    <w:uiPriority w:val="39"/>
    <w:unhideWhenUsed/>
    <w:pPr>
      <w:tabs>
        <w:tab w:val="left" w:pos="567"/>
        <w:tab w:val="right" w:leader="dot" w:pos="9628"/>
      </w:tabs>
      <w:spacing w:after="100"/>
    </w:pPr>
    <w:rPr>
      <w:noProof/>
    </w:rPr>
  </w:style>
  <w:style w:type="paragraph" w:styleId="TOC3">
    <w:name w:val="toc 3"/>
    <w:basedOn w:val="Normal"/>
    <w:next w:val="Standaard1"/>
    <w:autoRedefine/>
    <w:uiPriority w:val="39"/>
    <w:semiHidden/>
    <w:unhideWhenUsed/>
    <w:pPr>
      <w:tabs>
        <w:tab w:val="left" w:pos="1418"/>
        <w:tab w:val="right" w:leader="dot" w:pos="9628"/>
      </w:tabs>
      <w:spacing w:after="100"/>
      <w:ind w:left="567"/>
    </w:pPr>
    <w:rPr>
      <w:noProof/>
    </w:rPr>
  </w:style>
  <w:style w:type="paragraph" w:styleId="TOC4">
    <w:name w:val="toc 4"/>
    <w:basedOn w:val="Normal"/>
    <w:next w:val="Standaard1"/>
    <w:autoRedefine/>
    <w:uiPriority w:val="39"/>
    <w:semiHidden/>
    <w:unhideWhenUsed/>
    <w:pPr>
      <w:tabs>
        <w:tab w:val="left" w:pos="1701"/>
        <w:tab w:val="right" w:leader="dot" w:pos="9628"/>
      </w:tabs>
      <w:spacing w:after="100"/>
      <w:ind w:left="851"/>
    </w:pPr>
    <w:rPr>
      <w:i/>
      <w:noProof/>
      <w:sz w:val="18"/>
      <w:szCs w:val="18"/>
    </w:rPr>
  </w:style>
  <w:style w:type="paragraph" w:styleId="CommentText">
    <w:name w:val="annotation text"/>
    <w:basedOn w:val="Normal"/>
    <w:link w:val="CommentTextChar"/>
    <w:uiPriority w:val="99"/>
    <w:semiHidden/>
    <w:unhideWhenUsed/>
  </w:style>
  <w:style w:type="character" w:customStyle="1" w:styleId="TekstopmerkingChar">
    <w:name w:val="Tekst opmerking Char"/>
    <w:basedOn w:val="DefaultParagraphFont"/>
    <w:link w:val="Tekstopmerking1"/>
    <w:uiPriority w:val="99"/>
    <w:semiHidden/>
    <w:locked/>
    <w:rPr>
      <w:sz w:val="20"/>
      <w:szCs w:val="20"/>
    </w:rPr>
  </w:style>
  <w:style w:type="paragraph" w:styleId="Header">
    <w:name w:val="header"/>
    <w:basedOn w:val="Normal"/>
    <w:link w:val="HeaderChar"/>
    <w:uiPriority w:val="99"/>
    <w:semiHidden/>
    <w:unhideWhenUsed/>
  </w:style>
  <w:style w:type="character" w:customStyle="1" w:styleId="KoptekstChar">
    <w:name w:val="Koptekst Char"/>
    <w:basedOn w:val="DefaultParagraphFont"/>
    <w:link w:val="Koptekst1"/>
    <w:uiPriority w:val="99"/>
    <w:semiHidden/>
    <w:locked/>
  </w:style>
  <w:style w:type="paragraph" w:styleId="Footer">
    <w:name w:val="footer"/>
    <w:basedOn w:val="Normal"/>
    <w:link w:val="FooterChar"/>
    <w:uiPriority w:val="99"/>
    <w:semiHidden/>
    <w:unhideWhenUsed/>
  </w:style>
  <w:style w:type="character" w:customStyle="1" w:styleId="VoettekstChar">
    <w:name w:val="Voettekst Char"/>
    <w:basedOn w:val="DefaultParagraphFont"/>
    <w:link w:val="Voettekst1"/>
    <w:uiPriority w:val="99"/>
    <w:semiHidden/>
    <w:locked/>
    <w:rPr>
      <w:color w:val="3D946D"/>
      <w:sz w:val="18"/>
      <w:szCs w:val="20"/>
    </w:rPr>
  </w:style>
  <w:style w:type="paragraph" w:styleId="Title">
    <w:name w:val="Title"/>
    <w:basedOn w:val="Normal"/>
    <w:link w:val="TitleChar"/>
    <w:qFormat/>
  </w:style>
  <w:style w:type="character" w:customStyle="1" w:styleId="TitelChar">
    <w:name w:val="Titel Char"/>
    <w:basedOn w:val="DefaultParagraphFont"/>
    <w:rPr>
      <w:rFonts w:asciiTheme="majorHAnsi" w:eastAsiaTheme="majorEastAsia" w:hAnsiTheme="majorHAnsi" w:cstheme="majorBidi" w:hint="default"/>
      <w:spacing w:val="-10"/>
      <w:kern w:val="28"/>
      <w:sz w:val="56"/>
      <w:szCs w:val="56"/>
    </w:rPr>
  </w:style>
  <w:style w:type="paragraph" w:styleId="CommentSubject">
    <w:name w:val="annotation subject"/>
    <w:basedOn w:val="Normal"/>
    <w:link w:val="CommentSubjectChar"/>
    <w:uiPriority w:val="99"/>
    <w:semiHidden/>
    <w:unhideWhenUsed/>
  </w:style>
  <w:style w:type="character" w:customStyle="1" w:styleId="OnderwerpvanopmerkingChar">
    <w:name w:val="Onderwerp van opmerking Char"/>
    <w:basedOn w:val="TekstopmerkingChar"/>
    <w:link w:val="Onderwerpvanopmerking1"/>
    <w:uiPriority w:val="99"/>
    <w:semiHidden/>
    <w:locked/>
    <w:rPr>
      <w:b/>
      <w:bCs/>
      <w:sz w:val="20"/>
      <w:szCs w:val="20"/>
    </w:rPr>
  </w:style>
  <w:style w:type="paragraph" w:styleId="BalloonText">
    <w:name w:val="Balloon Text"/>
    <w:basedOn w:val="Normal"/>
    <w:link w:val="BalloonTextChar"/>
    <w:uiPriority w:val="99"/>
    <w:semiHidden/>
    <w:unhideWhenUsed/>
  </w:style>
  <w:style w:type="character" w:customStyle="1" w:styleId="BallontekstChar">
    <w:name w:val="Ballontekst Char"/>
    <w:basedOn w:val="DefaultParagraphFont"/>
    <w:link w:val="Ballontekst1"/>
    <w:uiPriority w:val="99"/>
    <w:semiHidden/>
    <w:locked/>
    <w:rPr>
      <w:rFonts w:ascii="Tahoma" w:hAnsi="Tahoma" w:cs="Tahoma" w:hint="default"/>
      <w:sz w:val="16"/>
      <w:szCs w:val="16"/>
    </w:rPr>
  </w:style>
  <w:style w:type="paragraph" w:styleId="Revision">
    <w:name w:val="Revision"/>
    <w:uiPriority w:val="99"/>
    <w:semiHidden/>
  </w:style>
  <w:style w:type="paragraph" w:styleId="TOCHeading">
    <w:name w:val="TOC Heading"/>
    <w:next w:val="Standaard1"/>
    <w:uiPriority w:val="39"/>
    <w:semiHidden/>
    <w:unhideWhenUsed/>
    <w:qFormat/>
    <w:pPr>
      <w:spacing w:after="200" w:line="276" w:lineRule="auto"/>
    </w:pPr>
    <w:rPr>
      <w:rFonts w:asciiTheme="majorHAnsi" w:eastAsiaTheme="majorEastAsia" w:hAnsiTheme="majorHAnsi" w:cstheme="majorBidi"/>
      <w:bCs/>
      <w:color w:val="3D946D"/>
      <w:sz w:val="48"/>
      <w:szCs w:val="48"/>
      <w:lang w:val="en-US"/>
    </w:rPr>
  </w:style>
  <w:style w:type="character" w:customStyle="1" w:styleId="Kop5Char">
    <w:name w:val="Kop 5 Char"/>
    <w:aliases w:val="SBR_CH Char"/>
    <w:basedOn w:val="DefaultParagraphFont"/>
    <w:link w:val="Kop51"/>
    <w:uiPriority w:val="9"/>
    <w:semiHidden/>
    <w:locked/>
    <w:rsid w:val="000C27C4"/>
    <w:rPr>
      <w:rFonts w:ascii="Montserrat ExtraBold" w:eastAsiaTheme="majorEastAsia" w:hAnsi="Montserrat ExtraBold" w:cstheme="majorBidi"/>
      <w:color w:val="006691"/>
      <w:sz w:val="28"/>
      <w:szCs w:val="28"/>
    </w:rPr>
  </w:style>
  <w:style w:type="paragraph" w:customStyle="1" w:styleId="Kop51">
    <w:name w:val="Kop 51"/>
    <w:aliases w:val="SBR_CH"/>
    <w:basedOn w:val="Normal"/>
    <w:next w:val="Standaard1"/>
    <w:link w:val="Kop5Char"/>
    <w:autoRedefine/>
    <w:uiPriority w:val="9"/>
    <w:semiHidden/>
    <w:qFormat/>
    <w:rsid w:val="000C27C4"/>
    <w:pPr>
      <w:keepNext/>
      <w:keepLines/>
      <w:spacing w:before="40" w:after="0"/>
      <w:outlineLvl w:val="4"/>
    </w:pPr>
    <w:rPr>
      <w:rFonts w:ascii="Montserrat ExtraBold" w:eastAsiaTheme="majorEastAsia" w:hAnsi="Montserrat ExtraBold" w:cstheme="majorBidi"/>
      <w:color w:val="006691"/>
      <w:sz w:val="28"/>
      <w:szCs w:val="28"/>
    </w:rPr>
  </w:style>
  <w:style w:type="paragraph" w:customStyle="1" w:styleId="Lijstalinea1">
    <w:name w:val="Lijstalinea1"/>
    <w:aliases w:val="Bullet"/>
    <w:basedOn w:val="Normal"/>
    <w:uiPriority w:val="34"/>
    <w:qFormat/>
    <w:pPr>
      <w:numPr>
        <w:numId w:val="2"/>
      </w:numPr>
      <w:ind w:left="426" w:hanging="426"/>
      <w:contextualSpacing/>
    </w:pPr>
  </w:style>
  <w:style w:type="paragraph" w:customStyle="1" w:styleId="Standard1">
    <w:name w:val="Standard1"/>
    <w:basedOn w:val="Normal"/>
  </w:style>
  <w:style w:type="character" w:customStyle="1" w:styleId="IndentedChar">
    <w:name w:val="Indented Char"/>
    <w:basedOn w:val="DefaultParagraphFont"/>
    <w:link w:val="Indented"/>
    <w:locked/>
    <w:rPr>
      <w:sz w:val="20"/>
      <w:szCs w:val="20"/>
    </w:rPr>
  </w:style>
  <w:style w:type="paragraph" w:customStyle="1" w:styleId="Indented">
    <w:name w:val="Indented"/>
    <w:basedOn w:val="Normal"/>
    <w:link w:val="IndentedChar"/>
    <w:qFormat/>
    <w:pPr>
      <w:ind w:left="851"/>
    </w:pPr>
  </w:style>
  <w:style w:type="character" w:customStyle="1" w:styleId="IntentedBulletChar">
    <w:name w:val="Intented Bullet Char"/>
    <w:basedOn w:val="IndentedChar"/>
    <w:link w:val="IntentedBullet"/>
    <w:locked/>
    <w:rPr>
      <w:sz w:val="20"/>
      <w:szCs w:val="20"/>
    </w:rPr>
  </w:style>
  <w:style w:type="paragraph" w:customStyle="1" w:styleId="IntentedBullet">
    <w:name w:val="Intented Bullet"/>
    <w:basedOn w:val="Indented"/>
    <w:link w:val="IntentedBulletChar"/>
    <w:qFormat/>
    <w:pPr>
      <w:numPr>
        <w:numId w:val="4"/>
      </w:numPr>
      <w:ind w:left="1276" w:hanging="425"/>
      <w:contextualSpacing/>
    </w:pPr>
  </w:style>
  <w:style w:type="character" w:customStyle="1" w:styleId="TableChar">
    <w:name w:val="Table Char"/>
    <w:basedOn w:val="DefaultParagraphFont"/>
    <w:link w:val="Table"/>
    <w:locked/>
    <w:rPr>
      <w:sz w:val="18"/>
      <w:szCs w:val="18"/>
    </w:rPr>
  </w:style>
  <w:style w:type="paragraph" w:customStyle="1" w:styleId="Table">
    <w:name w:val="Table"/>
    <w:basedOn w:val="Normal"/>
    <w:link w:val="TableChar"/>
    <w:qFormat/>
    <w:pPr>
      <w:spacing w:before="120" w:after="120" w:line="276" w:lineRule="auto"/>
    </w:pPr>
    <w:rPr>
      <w:sz w:val="18"/>
      <w:szCs w:val="18"/>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ableBulletChar">
    <w:name w:val="Table Bullet Char"/>
    <w:basedOn w:val="TableChar"/>
    <w:link w:val="TableBullet"/>
    <w:locked/>
    <w:rPr>
      <w:sz w:val="18"/>
      <w:szCs w:val="18"/>
    </w:rPr>
  </w:style>
  <w:style w:type="paragraph" w:customStyle="1" w:styleId="TableBullet">
    <w:name w:val="Table Bullet"/>
    <w:basedOn w:val="Table"/>
    <w:link w:val="TableBulletChar"/>
    <w:qFormat/>
    <w:pPr>
      <w:numPr>
        <w:numId w:val="6"/>
      </w:numPr>
      <w:ind w:left="318" w:hanging="284"/>
      <w:contextualSpacing/>
    </w:pPr>
  </w:style>
  <w:style w:type="character" w:customStyle="1" w:styleId="berschrift1Zchn">
    <w:name w:val="Überschrift 1 Zchn"/>
    <w:basedOn w:val="DefaultParagraphFont"/>
    <w:link w:val="berschrift11"/>
    <w:locked/>
    <w:rPr>
      <w:rFonts w:asciiTheme="majorHAnsi" w:eastAsiaTheme="majorEastAsia" w:hAnsiTheme="majorHAnsi" w:cstheme="majorBidi" w:hint="default"/>
      <w:color w:val="2F5496" w:themeColor="accent1" w:themeShade="BF"/>
      <w:sz w:val="32"/>
      <w:szCs w:val="32"/>
    </w:rPr>
  </w:style>
  <w:style w:type="paragraph" w:customStyle="1" w:styleId="berschrift11">
    <w:name w:val="Überschrift 11"/>
    <w:basedOn w:val="Normal"/>
    <w:link w:val="berschrift1Zchn"/>
  </w:style>
  <w:style w:type="character" w:customStyle="1" w:styleId="berschrift4Zchn">
    <w:name w:val="Überschrift 4 Zchn"/>
    <w:basedOn w:val="DefaultParagraphFont"/>
    <w:link w:val="berschrift41"/>
    <w:uiPriority w:val="9"/>
    <w:semiHidden/>
    <w:locked/>
    <w:rPr>
      <w:rFonts w:asciiTheme="majorHAnsi" w:eastAsiaTheme="majorEastAsia" w:hAnsiTheme="majorHAnsi" w:cstheme="majorBidi" w:hint="default"/>
      <w:i/>
      <w:iCs/>
      <w:color w:val="2F5496" w:themeColor="accent1" w:themeShade="BF"/>
    </w:rPr>
  </w:style>
  <w:style w:type="paragraph" w:customStyle="1" w:styleId="berschrift41">
    <w:name w:val="Überschrift 41"/>
    <w:basedOn w:val="Normal"/>
    <w:link w:val="berschrift4Zchn"/>
  </w:style>
  <w:style w:type="character" w:customStyle="1" w:styleId="KommentartextZchn">
    <w:name w:val="Kommentartext Zchn"/>
    <w:basedOn w:val="DefaultParagraphFont"/>
    <w:link w:val="Kommentartext1"/>
    <w:uiPriority w:val="99"/>
    <w:semiHidden/>
    <w:locked/>
  </w:style>
  <w:style w:type="paragraph" w:customStyle="1" w:styleId="Kommentartext1">
    <w:name w:val="Kommentartext1"/>
    <w:basedOn w:val="Normal"/>
    <w:link w:val="KommentartextZchn"/>
  </w:style>
  <w:style w:type="character" w:customStyle="1" w:styleId="KopfzeileZchn">
    <w:name w:val="Kopfzeile Zchn"/>
    <w:basedOn w:val="DefaultParagraphFont"/>
    <w:link w:val="Kopfzeile1"/>
    <w:uiPriority w:val="99"/>
    <w:locked/>
  </w:style>
  <w:style w:type="paragraph" w:customStyle="1" w:styleId="Kopfzeile1">
    <w:name w:val="Kopfzeile1"/>
    <w:basedOn w:val="Normal"/>
    <w:link w:val="KopfzeileZchn"/>
  </w:style>
  <w:style w:type="character" w:customStyle="1" w:styleId="FuzeileZchn">
    <w:name w:val="Fußzeile Zchn"/>
    <w:basedOn w:val="DefaultParagraphFont"/>
    <w:link w:val="Fuzeile1"/>
    <w:uiPriority w:val="99"/>
    <w:locked/>
  </w:style>
  <w:style w:type="paragraph" w:customStyle="1" w:styleId="Fuzeile1">
    <w:name w:val="Fußzeile1"/>
    <w:basedOn w:val="Normal"/>
    <w:link w:val="FuzeileZchn"/>
  </w:style>
  <w:style w:type="character" w:customStyle="1" w:styleId="SprechblasentextZchn">
    <w:name w:val="Sprechblasentext Zchn"/>
    <w:basedOn w:val="DefaultParagraphFont"/>
    <w:link w:val="Sprechblasentext1"/>
    <w:uiPriority w:val="99"/>
    <w:semiHidden/>
    <w:locked/>
    <w:rPr>
      <w:rFonts w:ascii="Segoe UI" w:hAnsi="Segoe UI" w:cs="Segoe UI" w:hint="default"/>
      <w:sz w:val="18"/>
      <w:szCs w:val="18"/>
    </w:rPr>
  </w:style>
  <w:style w:type="paragraph" w:customStyle="1" w:styleId="Sprechblasentext1">
    <w:name w:val="Sprechblasentext1"/>
    <w:basedOn w:val="Normal"/>
    <w:link w:val="SprechblasentextZchn"/>
  </w:style>
  <w:style w:type="character" w:customStyle="1" w:styleId="KommentarthemaZchn">
    <w:name w:val="Kommentarthema Zchn"/>
    <w:basedOn w:val="KommentartextZchn"/>
    <w:link w:val="Kommentarthema1"/>
    <w:uiPriority w:val="99"/>
    <w:semiHidden/>
    <w:locked/>
    <w:rPr>
      <w:b/>
      <w:bCs/>
    </w:rPr>
  </w:style>
  <w:style w:type="paragraph" w:customStyle="1" w:styleId="Kommentarthema1">
    <w:name w:val="Kommentarthema1"/>
    <w:basedOn w:val="Normal"/>
    <w:link w:val="KommentarthemaZchn"/>
  </w:style>
  <w:style w:type="character" w:customStyle="1" w:styleId="berschrift2Zchn">
    <w:name w:val="Überschrift 2 Zchn"/>
    <w:basedOn w:val="DefaultParagraphFont"/>
    <w:link w:val="berschrift21"/>
    <w:semiHidden/>
    <w:locked/>
    <w:rPr>
      <w:rFonts w:asciiTheme="majorHAnsi" w:eastAsiaTheme="majorEastAsia" w:hAnsiTheme="majorHAnsi" w:cstheme="majorBidi" w:hint="default"/>
      <w:color w:val="2F5496" w:themeColor="accent1" w:themeShade="BF"/>
      <w:sz w:val="26"/>
      <w:szCs w:val="26"/>
    </w:rPr>
  </w:style>
  <w:style w:type="paragraph" w:customStyle="1" w:styleId="berschrift21">
    <w:name w:val="Überschrift 21"/>
    <w:basedOn w:val="Normal"/>
    <w:link w:val="berschrift2Zchn"/>
  </w:style>
  <w:style w:type="character" w:customStyle="1" w:styleId="berschrift3Zchn">
    <w:name w:val="Überschrift 3 Zchn"/>
    <w:basedOn w:val="DefaultParagraphFont"/>
    <w:link w:val="berschrift31"/>
    <w:semiHidden/>
    <w:locked/>
    <w:rPr>
      <w:rFonts w:asciiTheme="majorHAnsi" w:eastAsiaTheme="majorEastAsia" w:hAnsiTheme="majorHAnsi" w:cstheme="majorBidi" w:hint="default"/>
      <w:color w:val="1F3763" w:themeColor="accent1" w:themeShade="7F"/>
      <w:sz w:val="24"/>
      <w:szCs w:val="24"/>
    </w:rPr>
  </w:style>
  <w:style w:type="paragraph" w:customStyle="1" w:styleId="berschrift31">
    <w:name w:val="Überschrift 31"/>
    <w:basedOn w:val="Normal"/>
    <w:link w:val="berschrift3Zchn"/>
  </w:style>
  <w:style w:type="paragraph" w:customStyle="1" w:styleId="Kop11">
    <w:name w:val="Kop 11"/>
    <w:basedOn w:val="Normal"/>
    <w:link w:val="Kop1Char"/>
  </w:style>
  <w:style w:type="paragraph" w:customStyle="1" w:styleId="Kop21">
    <w:name w:val="Kop 21"/>
    <w:basedOn w:val="Normal"/>
    <w:link w:val="Kop2Char"/>
  </w:style>
  <w:style w:type="paragraph" w:customStyle="1" w:styleId="Kop31">
    <w:name w:val="Kop 31"/>
    <w:basedOn w:val="Normal"/>
    <w:link w:val="Kop3Char"/>
  </w:style>
  <w:style w:type="paragraph" w:customStyle="1" w:styleId="Kop41">
    <w:name w:val="Kop 41"/>
    <w:basedOn w:val="Normal"/>
    <w:link w:val="Kop4Char"/>
  </w:style>
  <w:style w:type="paragraph" w:customStyle="1" w:styleId="Tekstopmerking1">
    <w:name w:val="Tekst opmerking1"/>
    <w:basedOn w:val="Normal"/>
    <w:link w:val="TekstopmerkingChar"/>
  </w:style>
  <w:style w:type="paragraph" w:customStyle="1" w:styleId="Koptekst1">
    <w:name w:val="Koptekst1"/>
    <w:basedOn w:val="Normal"/>
    <w:link w:val="KoptekstChar"/>
  </w:style>
  <w:style w:type="paragraph" w:customStyle="1" w:styleId="Voettekst1">
    <w:name w:val="Voettekst1"/>
    <w:basedOn w:val="Normal"/>
    <w:link w:val="VoettekstChar"/>
  </w:style>
  <w:style w:type="paragraph" w:customStyle="1" w:styleId="Onderwerpvanopmerking1">
    <w:name w:val="Onderwerp van opmerking1"/>
    <w:basedOn w:val="Normal"/>
    <w:link w:val="OnderwerpvanopmerkingChar"/>
  </w:style>
  <w:style w:type="paragraph" w:customStyle="1" w:styleId="Ballontekst1">
    <w:name w:val="Ballontekst1"/>
    <w:basedOn w:val="Normal"/>
    <w:link w:val="BallontekstChar"/>
  </w:style>
  <w:style w:type="character" w:customStyle="1" w:styleId="SubheadingChar">
    <w:name w:val="Sub heading Char"/>
    <w:basedOn w:val="Kop4Char"/>
    <w:link w:val="Subheading"/>
    <w:locked/>
    <w:rPr>
      <w:rFonts w:asciiTheme="majorHAnsi" w:eastAsiaTheme="majorEastAsia" w:hAnsiTheme="majorHAnsi" w:cstheme="majorBidi" w:hint="default"/>
      <w:bCs/>
      <w:iCs/>
      <w:color w:val="8AB059"/>
      <w:sz w:val="28"/>
      <w:szCs w:val="28"/>
    </w:rPr>
  </w:style>
  <w:style w:type="paragraph" w:customStyle="1" w:styleId="Subheading">
    <w:name w:val="Sub heading"/>
    <w:basedOn w:val="Kop41"/>
    <w:link w:val="SubheadingChar"/>
    <w:qFormat/>
    <w:pPr>
      <w:keepNext/>
      <w:keepLines/>
      <w:spacing w:before="240" w:after="120"/>
      <w:outlineLvl w:val="3"/>
    </w:pPr>
    <w:rPr>
      <w:rFonts w:asciiTheme="majorHAnsi" w:eastAsiaTheme="majorEastAsia" w:hAnsiTheme="majorHAnsi" w:cstheme="majorBidi"/>
      <w:bCs/>
      <w:iCs/>
      <w:color w:val="8AB059"/>
      <w:sz w:val="28"/>
      <w:szCs w:val="28"/>
    </w:rPr>
  </w:style>
  <w:style w:type="character" w:customStyle="1" w:styleId="TitelChar1">
    <w:name w:val="Titel Char1"/>
    <w:basedOn w:val="DefaultParagraphFont"/>
    <w:link w:val="Titel1"/>
    <w:locked/>
    <w:rPr>
      <w:rFonts w:ascii="Georgia" w:eastAsiaTheme="majorEastAsia" w:hAnsi="Georgia" w:cstheme="majorBidi" w:hint="default"/>
      <w:color w:val="3D946D"/>
      <w:spacing w:val="5"/>
      <w:kern w:val="28"/>
      <w:sz w:val="80"/>
      <w:szCs w:val="80"/>
    </w:rPr>
  </w:style>
  <w:style w:type="paragraph" w:customStyle="1" w:styleId="Titel1">
    <w:name w:val="Titel1"/>
    <w:basedOn w:val="Normal"/>
    <w:link w:val="TitelChar1"/>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locked/>
    <w:rsid w:val="00AF3063"/>
    <w:rPr>
      <w:rFonts w:ascii="Montserrat ExtraBold" w:eastAsiaTheme="majorEastAsia" w:hAnsi="Montserrat ExtraBold" w:cstheme="majorBidi"/>
      <w:bCs/>
      <w:color w:val="006890"/>
      <w:sz w:val="36"/>
      <w:szCs w:val="48"/>
    </w:rPr>
  </w:style>
  <w:style w:type="character" w:customStyle="1" w:styleId="Heading2Char">
    <w:name w:val="Heading 2 Char"/>
    <w:basedOn w:val="DefaultParagraphFont"/>
    <w:link w:val="Heading2"/>
    <w:locked/>
    <w:rsid w:val="000C27C4"/>
    <w:rPr>
      <w:rFonts w:ascii="Montserrat ExtraBold" w:eastAsiaTheme="minorEastAsia" w:hAnsi="Montserrat ExtraBold"/>
      <w:color w:val="006891"/>
      <w:sz w:val="32"/>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rPr>
  </w:style>
  <w:style w:type="character" w:customStyle="1" w:styleId="CommentTextChar">
    <w:name w:val="Comment Text Char"/>
    <w:basedOn w:val="DefaultParagraphFont"/>
    <w:link w:val="CommentText"/>
    <w:uiPriority w:val="99"/>
    <w:semiHidden/>
    <w:locked/>
  </w:style>
  <w:style w:type="character" w:customStyle="1" w:styleId="HeaderChar">
    <w:name w:val="Header Char"/>
    <w:basedOn w:val="DefaultParagraphFont"/>
    <w:link w:val="Header"/>
    <w:uiPriority w:val="99"/>
    <w:semiHidden/>
    <w:locked/>
  </w:style>
  <w:style w:type="character" w:customStyle="1" w:styleId="FooterChar">
    <w:name w:val="Footer Char"/>
    <w:basedOn w:val="DefaultParagraphFont"/>
    <w:link w:val="Footer"/>
    <w:uiPriority w:val="99"/>
    <w:semiHidden/>
    <w:locked/>
  </w:style>
  <w:style w:type="character" w:customStyle="1" w:styleId="TitleChar">
    <w:name w:val="Title Char"/>
    <w:basedOn w:val="DefaultParagraphFont"/>
    <w:link w:val="Title"/>
    <w:locked/>
    <w:rPr>
      <w:rFonts w:asciiTheme="majorHAnsi" w:eastAsiaTheme="majorEastAsia" w:hAnsiTheme="majorHAnsi" w:cstheme="majorBidi" w:hint="default"/>
      <w:spacing w:val="-10"/>
      <w:kern w:val="28"/>
      <w:sz w:val="56"/>
      <w:szCs w:val="56"/>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Kop5Char1">
    <w:name w:val="Kop 5 Char1"/>
    <w:aliases w:val="SBR_CH Char1"/>
    <w:basedOn w:val="DefaultParagraphFont"/>
    <w:uiPriority w:val="9"/>
    <w:semiHidden/>
    <w:rPr>
      <w:rFonts w:asciiTheme="majorHAnsi" w:eastAsiaTheme="majorEastAsia" w:hAnsiTheme="majorHAnsi" w:cstheme="majorBidi" w:hint="default"/>
      <w:color w:val="2F5496" w:themeColor="accent1" w:themeShade="BF"/>
    </w:rPr>
  </w:style>
  <w:style w:type="character" w:customStyle="1" w:styleId="TitelZchn">
    <w:name w:val="Titel Zchn"/>
    <w:basedOn w:val="DefaultParagraphFont"/>
    <w:locked/>
    <w:rPr>
      <w:rFonts w:asciiTheme="majorHAnsi" w:eastAsiaTheme="majorEastAsia" w:hAnsiTheme="majorHAnsi" w:cstheme="majorBidi" w:hint="default"/>
      <w:spacing w:val="-10"/>
      <w:kern w:val="28"/>
      <w:sz w:val="56"/>
      <w:szCs w:val="56"/>
    </w:rPr>
  </w:style>
  <w:style w:type="character" w:customStyle="1" w:styleId="UnresolvedMention1">
    <w:name w:val="Unresolved Mention1"/>
    <w:basedOn w:val="DefaultParagraphFont"/>
    <w:uiPriority w:val="99"/>
    <w:rPr>
      <w:color w:val="605E5C"/>
      <w:shd w:val="clear" w:color="auto" w:fill="E1DFDD"/>
    </w:rPr>
  </w:style>
  <w:style w:type="character" w:customStyle="1" w:styleId="CHNAMESBPTitle">
    <w:name w:val="CHNAME_SBP_Title"/>
    <w:basedOn w:val="DefaultParagraphFont"/>
    <w:uiPriority w:val="1"/>
    <w:rPr>
      <w:rFonts w:ascii="Georgia" w:eastAsiaTheme="majorEastAsia" w:hAnsi="Georgia" w:cstheme="majorBidi" w:hint="default"/>
      <w:color w:val="006691"/>
      <w:spacing w:val="5"/>
      <w:kern w:val="28"/>
      <w:sz w:val="80"/>
      <w:szCs w:val="80"/>
    </w:rPr>
  </w:style>
  <w:style w:type="character" w:customStyle="1" w:styleId="AuditTypeSBP">
    <w:name w:val="Audit_Type_SBP"/>
    <w:basedOn w:val="DefaultParagraphFont"/>
    <w:uiPriority w:val="1"/>
    <w:rPr>
      <w:color w:val="006691"/>
    </w:rPr>
  </w:style>
  <w:style w:type="character" w:customStyle="1" w:styleId="SBRCHNAME">
    <w:name w:val="SBR_CH_NAME"/>
    <w:basedOn w:val="CHNAMESBPTitle"/>
    <w:uiPriority w:val="1"/>
    <w:rPr>
      <w:rFonts w:ascii="Georgia" w:eastAsiaTheme="majorEastAsia" w:hAnsi="Georgia" w:cstheme="majorBidi" w:hint="default"/>
      <w:color w:val="006691"/>
      <w:spacing w:val="5"/>
      <w:kern w:val="28"/>
      <w:sz w:val="80"/>
      <w:szCs w:val="80"/>
    </w:rPr>
  </w:style>
  <w:style w:type="character" w:customStyle="1" w:styleId="SBRAuditType">
    <w:name w:val="SBR_Audit_Type"/>
    <w:basedOn w:val="AuditTypeSBP"/>
    <w:uiPriority w:val="1"/>
    <w:rPr>
      <w:color w:val="006691"/>
    </w:rPr>
  </w:style>
  <w:style w:type="character" w:customStyle="1" w:styleId="NEWSBRCH">
    <w:name w:val="NEW_SBR_CH"/>
    <w:uiPriority w:val="1"/>
    <w:rPr>
      <w:rFonts w:asciiTheme="majorHAnsi" w:hAnsiTheme="majorHAnsi" w:cs="Calibri Light" w:hint="default"/>
      <w:vanish/>
      <w:webHidden w:val="0"/>
      <w:color w:val="00698C"/>
      <w:sz w:val="80"/>
      <w:specVanish/>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tblPr>
      <w:tblCellMar>
        <w:top w:w="0" w:type="dxa"/>
        <w:left w:w="108" w:type="dxa"/>
        <w:bottom w:w="0" w:type="dxa"/>
        <w:right w:w="108" w:type="dxa"/>
      </w:tblCellMar>
    </w:tblPr>
  </w:style>
  <w:style w:type="numbering" w:customStyle="1" w:styleId="SBP">
    <w:name w:val="SBP"/>
    <w:uiPriority w:val="9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7277">
      <w:bodyDiv w:val="1"/>
      <w:marLeft w:val="0"/>
      <w:marRight w:val="0"/>
      <w:marTop w:val="0"/>
      <w:marBottom w:val="0"/>
      <w:divBdr>
        <w:top w:val="none" w:sz="0" w:space="0" w:color="auto"/>
        <w:left w:val="none" w:sz="0" w:space="0" w:color="auto"/>
        <w:bottom w:val="none" w:sz="0" w:space="0" w:color="auto"/>
        <w:right w:val="none" w:sz="0" w:space="0" w:color="auto"/>
      </w:divBdr>
      <w:divsChild>
        <w:div w:id="1253201676">
          <w:marLeft w:val="0"/>
          <w:marRight w:val="0"/>
          <w:marTop w:val="0"/>
          <w:marBottom w:val="0"/>
          <w:divBdr>
            <w:top w:val="none" w:sz="0" w:space="0" w:color="auto"/>
            <w:left w:val="none" w:sz="0" w:space="0" w:color="auto"/>
            <w:bottom w:val="none" w:sz="0" w:space="0" w:color="auto"/>
            <w:right w:val="none" w:sz="0" w:space="0" w:color="auto"/>
          </w:divBdr>
        </w:div>
      </w:divsChild>
    </w:div>
    <w:div w:id="268706614">
      <w:bodyDiv w:val="1"/>
      <w:marLeft w:val="0"/>
      <w:marRight w:val="0"/>
      <w:marTop w:val="0"/>
      <w:marBottom w:val="0"/>
      <w:divBdr>
        <w:top w:val="none" w:sz="0" w:space="0" w:color="auto"/>
        <w:left w:val="none" w:sz="0" w:space="0" w:color="auto"/>
        <w:bottom w:val="none" w:sz="0" w:space="0" w:color="auto"/>
        <w:right w:val="none" w:sz="0" w:space="0" w:color="auto"/>
      </w:divBdr>
      <w:divsChild>
        <w:div w:id="2004700746">
          <w:marLeft w:val="0"/>
          <w:marRight w:val="0"/>
          <w:marTop w:val="0"/>
          <w:marBottom w:val="0"/>
          <w:divBdr>
            <w:top w:val="none" w:sz="0" w:space="0" w:color="auto"/>
            <w:left w:val="none" w:sz="0" w:space="0" w:color="auto"/>
            <w:bottom w:val="none" w:sz="0" w:space="0" w:color="auto"/>
            <w:right w:val="none" w:sz="0" w:space="0" w:color="auto"/>
          </w:divBdr>
          <w:divsChild>
            <w:div w:id="6969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1788">
      <w:bodyDiv w:val="1"/>
      <w:marLeft w:val="0"/>
      <w:marRight w:val="0"/>
      <w:marTop w:val="0"/>
      <w:marBottom w:val="0"/>
      <w:divBdr>
        <w:top w:val="none" w:sz="0" w:space="0" w:color="auto"/>
        <w:left w:val="none" w:sz="0" w:space="0" w:color="auto"/>
        <w:bottom w:val="none" w:sz="0" w:space="0" w:color="auto"/>
        <w:right w:val="none" w:sz="0" w:space="0" w:color="auto"/>
      </w:divBdr>
      <w:divsChild>
        <w:div w:id="1446578784">
          <w:marLeft w:val="0"/>
          <w:marRight w:val="0"/>
          <w:marTop w:val="0"/>
          <w:marBottom w:val="0"/>
          <w:divBdr>
            <w:top w:val="none" w:sz="0" w:space="0" w:color="auto"/>
            <w:left w:val="none" w:sz="0" w:space="0" w:color="auto"/>
            <w:bottom w:val="none" w:sz="0" w:space="0" w:color="auto"/>
            <w:right w:val="none" w:sz="0" w:space="0" w:color="auto"/>
          </w:divBdr>
        </w:div>
      </w:divsChild>
    </w:div>
    <w:div w:id="688722831">
      <w:bodyDiv w:val="1"/>
      <w:marLeft w:val="0"/>
      <w:marRight w:val="0"/>
      <w:marTop w:val="0"/>
      <w:marBottom w:val="0"/>
      <w:divBdr>
        <w:top w:val="none" w:sz="0" w:space="0" w:color="auto"/>
        <w:left w:val="none" w:sz="0" w:space="0" w:color="auto"/>
        <w:bottom w:val="none" w:sz="0" w:space="0" w:color="auto"/>
        <w:right w:val="none" w:sz="0" w:space="0" w:color="auto"/>
      </w:divBdr>
      <w:divsChild>
        <w:div w:id="1892423719">
          <w:marLeft w:val="0"/>
          <w:marRight w:val="0"/>
          <w:marTop w:val="0"/>
          <w:marBottom w:val="0"/>
          <w:divBdr>
            <w:top w:val="none" w:sz="0" w:space="0" w:color="auto"/>
            <w:left w:val="none" w:sz="0" w:space="0" w:color="auto"/>
            <w:bottom w:val="none" w:sz="0" w:space="0" w:color="auto"/>
            <w:right w:val="none" w:sz="0" w:space="0" w:color="auto"/>
          </w:divBdr>
          <w:divsChild>
            <w:div w:id="768545867">
              <w:marLeft w:val="0"/>
              <w:marRight w:val="0"/>
              <w:marTop w:val="0"/>
              <w:marBottom w:val="0"/>
              <w:divBdr>
                <w:top w:val="none" w:sz="0" w:space="0" w:color="auto"/>
                <w:left w:val="none" w:sz="0" w:space="0" w:color="auto"/>
                <w:bottom w:val="none" w:sz="0" w:space="0" w:color="auto"/>
                <w:right w:val="none" w:sz="0" w:space="0" w:color="auto"/>
              </w:divBdr>
            </w:div>
            <w:div w:id="69810446">
              <w:marLeft w:val="0"/>
              <w:marRight w:val="0"/>
              <w:marTop w:val="0"/>
              <w:marBottom w:val="0"/>
              <w:divBdr>
                <w:top w:val="none" w:sz="0" w:space="0" w:color="auto"/>
                <w:left w:val="none" w:sz="0" w:space="0" w:color="auto"/>
                <w:bottom w:val="none" w:sz="0" w:space="0" w:color="auto"/>
                <w:right w:val="none" w:sz="0" w:space="0" w:color="auto"/>
              </w:divBdr>
            </w:div>
            <w:div w:id="20425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5621">
      <w:bodyDiv w:val="1"/>
      <w:marLeft w:val="0"/>
      <w:marRight w:val="0"/>
      <w:marTop w:val="0"/>
      <w:marBottom w:val="0"/>
      <w:divBdr>
        <w:top w:val="none" w:sz="0" w:space="0" w:color="auto"/>
        <w:left w:val="none" w:sz="0" w:space="0" w:color="auto"/>
        <w:bottom w:val="none" w:sz="0" w:space="0" w:color="auto"/>
        <w:right w:val="none" w:sz="0" w:space="0" w:color="auto"/>
      </w:divBdr>
      <w:divsChild>
        <w:div w:id="501623228">
          <w:marLeft w:val="0"/>
          <w:marRight w:val="0"/>
          <w:marTop w:val="0"/>
          <w:marBottom w:val="0"/>
          <w:divBdr>
            <w:top w:val="none" w:sz="0" w:space="0" w:color="auto"/>
            <w:left w:val="none" w:sz="0" w:space="0" w:color="auto"/>
            <w:bottom w:val="none" w:sz="0" w:space="0" w:color="auto"/>
            <w:right w:val="none" w:sz="0" w:space="0" w:color="auto"/>
          </w:divBdr>
          <w:divsChild>
            <w:div w:id="3050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549">
      <w:bodyDiv w:val="1"/>
      <w:marLeft w:val="0"/>
      <w:marRight w:val="0"/>
      <w:marTop w:val="0"/>
      <w:marBottom w:val="0"/>
      <w:divBdr>
        <w:top w:val="none" w:sz="0" w:space="0" w:color="auto"/>
        <w:left w:val="none" w:sz="0" w:space="0" w:color="auto"/>
        <w:bottom w:val="none" w:sz="0" w:space="0" w:color="auto"/>
        <w:right w:val="none" w:sz="0" w:space="0" w:color="auto"/>
      </w:divBdr>
      <w:divsChild>
        <w:div w:id="1426921018">
          <w:marLeft w:val="0"/>
          <w:marRight w:val="0"/>
          <w:marTop w:val="0"/>
          <w:marBottom w:val="0"/>
          <w:divBdr>
            <w:top w:val="none" w:sz="0" w:space="0" w:color="auto"/>
            <w:left w:val="none" w:sz="0" w:space="0" w:color="auto"/>
            <w:bottom w:val="none" w:sz="0" w:space="0" w:color="auto"/>
            <w:right w:val="none" w:sz="0" w:space="0" w:color="auto"/>
          </w:divBdr>
        </w:div>
      </w:divsChild>
    </w:div>
    <w:div w:id="1116220371">
      <w:bodyDiv w:val="1"/>
      <w:marLeft w:val="0"/>
      <w:marRight w:val="0"/>
      <w:marTop w:val="0"/>
      <w:marBottom w:val="0"/>
      <w:divBdr>
        <w:top w:val="none" w:sz="0" w:space="0" w:color="auto"/>
        <w:left w:val="none" w:sz="0" w:space="0" w:color="auto"/>
        <w:bottom w:val="none" w:sz="0" w:space="0" w:color="auto"/>
        <w:right w:val="none" w:sz="0" w:space="0" w:color="auto"/>
      </w:divBdr>
      <w:divsChild>
        <w:div w:id="1483230565">
          <w:marLeft w:val="0"/>
          <w:marRight w:val="0"/>
          <w:marTop w:val="0"/>
          <w:marBottom w:val="0"/>
          <w:divBdr>
            <w:top w:val="none" w:sz="0" w:space="0" w:color="auto"/>
            <w:left w:val="none" w:sz="0" w:space="0" w:color="auto"/>
            <w:bottom w:val="none" w:sz="0" w:space="0" w:color="auto"/>
            <w:right w:val="none" w:sz="0" w:space="0" w:color="auto"/>
          </w:divBdr>
          <w:divsChild>
            <w:div w:id="1719546019">
              <w:marLeft w:val="0"/>
              <w:marRight w:val="0"/>
              <w:marTop w:val="0"/>
              <w:marBottom w:val="0"/>
              <w:divBdr>
                <w:top w:val="none" w:sz="0" w:space="0" w:color="auto"/>
                <w:left w:val="none" w:sz="0" w:space="0" w:color="auto"/>
                <w:bottom w:val="none" w:sz="0" w:space="0" w:color="auto"/>
                <w:right w:val="none" w:sz="0" w:space="0" w:color="auto"/>
              </w:divBdr>
            </w:div>
            <w:div w:id="2022202133">
              <w:marLeft w:val="0"/>
              <w:marRight w:val="0"/>
              <w:marTop w:val="0"/>
              <w:marBottom w:val="0"/>
              <w:divBdr>
                <w:top w:val="none" w:sz="0" w:space="0" w:color="auto"/>
                <w:left w:val="none" w:sz="0" w:space="0" w:color="auto"/>
                <w:bottom w:val="none" w:sz="0" w:space="0" w:color="auto"/>
                <w:right w:val="none" w:sz="0" w:space="0" w:color="auto"/>
              </w:divBdr>
            </w:div>
            <w:div w:id="941692818">
              <w:marLeft w:val="0"/>
              <w:marRight w:val="0"/>
              <w:marTop w:val="0"/>
              <w:marBottom w:val="0"/>
              <w:divBdr>
                <w:top w:val="none" w:sz="0" w:space="0" w:color="auto"/>
                <w:left w:val="none" w:sz="0" w:space="0" w:color="auto"/>
                <w:bottom w:val="none" w:sz="0" w:space="0" w:color="auto"/>
                <w:right w:val="none" w:sz="0" w:space="0" w:color="auto"/>
              </w:divBdr>
              <w:divsChild>
                <w:div w:id="13803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6064">
      <w:bodyDiv w:val="1"/>
      <w:marLeft w:val="0"/>
      <w:marRight w:val="0"/>
      <w:marTop w:val="0"/>
      <w:marBottom w:val="0"/>
      <w:divBdr>
        <w:top w:val="none" w:sz="0" w:space="0" w:color="auto"/>
        <w:left w:val="none" w:sz="0" w:space="0" w:color="auto"/>
        <w:bottom w:val="none" w:sz="0" w:space="0" w:color="auto"/>
        <w:right w:val="none" w:sz="0" w:space="0" w:color="auto"/>
      </w:divBdr>
      <w:divsChild>
        <w:div w:id="464548330">
          <w:marLeft w:val="0"/>
          <w:marRight w:val="0"/>
          <w:marTop w:val="0"/>
          <w:marBottom w:val="0"/>
          <w:divBdr>
            <w:top w:val="none" w:sz="0" w:space="0" w:color="auto"/>
            <w:left w:val="none" w:sz="0" w:space="0" w:color="auto"/>
            <w:bottom w:val="none" w:sz="0" w:space="0" w:color="auto"/>
            <w:right w:val="none" w:sz="0" w:space="0" w:color="auto"/>
          </w:divBdr>
        </w:div>
      </w:divsChild>
    </w:div>
    <w:div w:id="1357999371">
      <w:bodyDiv w:val="1"/>
      <w:marLeft w:val="0"/>
      <w:marRight w:val="0"/>
      <w:marTop w:val="0"/>
      <w:marBottom w:val="0"/>
      <w:divBdr>
        <w:top w:val="none" w:sz="0" w:space="0" w:color="auto"/>
        <w:left w:val="none" w:sz="0" w:space="0" w:color="auto"/>
        <w:bottom w:val="none" w:sz="0" w:space="0" w:color="auto"/>
        <w:right w:val="none" w:sz="0" w:space="0" w:color="auto"/>
      </w:divBdr>
      <w:divsChild>
        <w:div w:id="578565870">
          <w:marLeft w:val="0"/>
          <w:marRight w:val="0"/>
          <w:marTop w:val="0"/>
          <w:marBottom w:val="0"/>
          <w:divBdr>
            <w:top w:val="none" w:sz="0" w:space="0" w:color="auto"/>
            <w:left w:val="none" w:sz="0" w:space="0" w:color="auto"/>
            <w:bottom w:val="none" w:sz="0" w:space="0" w:color="auto"/>
            <w:right w:val="none" w:sz="0" w:space="0" w:color="auto"/>
          </w:divBdr>
          <w:divsChild>
            <w:div w:id="660504359">
              <w:marLeft w:val="0"/>
              <w:marRight w:val="0"/>
              <w:marTop w:val="0"/>
              <w:marBottom w:val="0"/>
              <w:divBdr>
                <w:top w:val="none" w:sz="0" w:space="0" w:color="auto"/>
                <w:left w:val="none" w:sz="0" w:space="0" w:color="auto"/>
                <w:bottom w:val="none" w:sz="0" w:space="0" w:color="auto"/>
                <w:right w:val="none" w:sz="0" w:space="0" w:color="auto"/>
              </w:divBdr>
            </w:div>
            <w:div w:id="793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6878">
      <w:bodyDiv w:val="1"/>
      <w:marLeft w:val="0"/>
      <w:marRight w:val="0"/>
      <w:marTop w:val="0"/>
      <w:marBottom w:val="0"/>
      <w:divBdr>
        <w:top w:val="none" w:sz="0" w:space="0" w:color="auto"/>
        <w:left w:val="none" w:sz="0" w:space="0" w:color="auto"/>
        <w:bottom w:val="none" w:sz="0" w:space="0" w:color="auto"/>
        <w:right w:val="none" w:sz="0" w:space="0" w:color="auto"/>
      </w:divBdr>
      <w:divsChild>
        <w:div w:id="1577478147">
          <w:marLeft w:val="0"/>
          <w:marRight w:val="0"/>
          <w:marTop w:val="0"/>
          <w:marBottom w:val="0"/>
          <w:divBdr>
            <w:top w:val="none" w:sz="0" w:space="0" w:color="auto"/>
            <w:left w:val="none" w:sz="0" w:space="0" w:color="auto"/>
            <w:bottom w:val="none" w:sz="0" w:space="0" w:color="auto"/>
            <w:right w:val="none" w:sz="0" w:space="0" w:color="auto"/>
          </w:divBdr>
          <w:divsChild>
            <w:div w:id="12741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3555">
      <w:bodyDiv w:val="1"/>
      <w:marLeft w:val="0"/>
      <w:marRight w:val="0"/>
      <w:marTop w:val="0"/>
      <w:marBottom w:val="0"/>
      <w:divBdr>
        <w:top w:val="none" w:sz="0" w:space="0" w:color="auto"/>
        <w:left w:val="none" w:sz="0" w:space="0" w:color="auto"/>
        <w:bottom w:val="none" w:sz="0" w:space="0" w:color="auto"/>
        <w:right w:val="none" w:sz="0" w:space="0" w:color="auto"/>
      </w:divBdr>
      <w:divsChild>
        <w:div w:id="646327025">
          <w:marLeft w:val="0"/>
          <w:marRight w:val="0"/>
          <w:marTop w:val="0"/>
          <w:marBottom w:val="0"/>
          <w:divBdr>
            <w:top w:val="none" w:sz="0" w:space="0" w:color="auto"/>
            <w:left w:val="none" w:sz="0" w:space="0" w:color="auto"/>
            <w:bottom w:val="none" w:sz="0" w:space="0" w:color="auto"/>
            <w:right w:val="none" w:sz="0" w:space="0" w:color="auto"/>
          </w:divBdr>
        </w:div>
      </w:divsChild>
    </w:div>
    <w:div w:id="1643272472">
      <w:bodyDiv w:val="1"/>
      <w:marLeft w:val="0"/>
      <w:marRight w:val="0"/>
      <w:marTop w:val="0"/>
      <w:marBottom w:val="0"/>
      <w:divBdr>
        <w:top w:val="none" w:sz="0" w:space="0" w:color="auto"/>
        <w:left w:val="none" w:sz="0" w:space="0" w:color="auto"/>
        <w:bottom w:val="none" w:sz="0" w:space="0" w:color="auto"/>
        <w:right w:val="none" w:sz="0" w:space="0" w:color="auto"/>
      </w:divBdr>
      <w:divsChild>
        <w:div w:id="123083500">
          <w:marLeft w:val="0"/>
          <w:marRight w:val="0"/>
          <w:marTop w:val="0"/>
          <w:marBottom w:val="0"/>
          <w:divBdr>
            <w:top w:val="none" w:sz="0" w:space="0" w:color="auto"/>
            <w:left w:val="none" w:sz="0" w:space="0" w:color="auto"/>
            <w:bottom w:val="none" w:sz="0" w:space="0" w:color="auto"/>
            <w:right w:val="none" w:sz="0" w:space="0" w:color="auto"/>
          </w:divBdr>
          <w:divsChild>
            <w:div w:id="1062483046">
              <w:marLeft w:val="0"/>
              <w:marRight w:val="0"/>
              <w:marTop w:val="0"/>
              <w:marBottom w:val="0"/>
              <w:divBdr>
                <w:top w:val="none" w:sz="0" w:space="0" w:color="auto"/>
                <w:left w:val="none" w:sz="0" w:space="0" w:color="auto"/>
                <w:bottom w:val="none" w:sz="0" w:space="0" w:color="auto"/>
                <w:right w:val="none" w:sz="0" w:space="0" w:color="auto"/>
              </w:divBdr>
            </w:div>
            <w:div w:id="14512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695">
      <w:bodyDiv w:val="1"/>
      <w:marLeft w:val="0"/>
      <w:marRight w:val="0"/>
      <w:marTop w:val="0"/>
      <w:marBottom w:val="0"/>
      <w:divBdr>
        <w:top w:val="none" w:sz="0" w:space="0" w:color="auto"/>
        <w:left w:val="none" w:sz="0" w:space="0" w:color="auto"/>
        <w:bottom w:val="none" w:sz="0" w:space="0" w:color="auto"/>
        <w:right w:val="none" w:sz="0" w:space="0" w:color="auto"/>
      </w:divBdr>
      <w:divsChild>
        <w:div w:id="1129082624">
          <w:marLeft w:val="0"/>
          <w:marRight w:val="0"/>
          <w:marTop w:val="0"/>
          <w:marBottom w:val="0"/>
          <w:divBdr>
            <w:top w:val="none" w:sz="0" w:space="0" w:color="auto"/>
            <w:left w:val="none" w:sz="0" w:space="0" w:color="auto"/>
            <w:bottom w:val="none" w:sz="0" w:space="0" w:color="auto"/>
            <w:right w:val="none" w:sz="0" w:space="0" w:color="auto"/>
          </w:divBdr>
          <w:divsChild>
            <w:div w:id="523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6157">
      <w:bodyDiv w:val="1"/>
      <w:marLeft w:val="0"/>
      <w:marRight w:val="0"/>
      <w:marTop w:val="0"/>
      <w:marBottom w:val="0"/>
      <w:divBdr>
        <w:top w:val="none" w:sz="0" w:space="0" w:color="auto"/>
        <w:left w:val="none" w:sz="0" w:space="0" w:color="auto"/>
        <w:bottom w:val="none" w:sz="0" w:space="0" w:color="auto"/>
        <w:right w:val="none" w:sz="0" w:space="0" w:color="auto"/>
      </w:divBdr>
      <w:divsChild>
        <w:div w:id="2013877420">
          <w:marLeft w:val="0"/>
          <w:marRight w:val="0"/>
          <w:marTop w:val="0"/>
          <w:marBottom w:val="0"/>
          <w:divBdr>
            <w:top w:val="none" w:sz="0" w:space="0" w:color="auto"/>
            <w:left w:val="none" w:sz="0" w:space="0" w:color="auto"/>
            <w:bottom w:val="none" w:sz="0" w:space="0" w:color="auto"/>
            <w:right w:val="none" w:sz="0" w:space="0" w:color="auto"/>
          </w:divBdr>
          <w:divsChild>
            <w:div w:id="1724868019">
              <w:marLeft w:val="0"/>
              <w:marRight w:val="0"/>
              <w:marTop w:val="0"/>
              <w:marBottom w:val="0"/>
              <w:divBdr>
                <w:top w:val="none" w:sz="0" w:space="0" w:color="auto"/>
                <w:left w:val="none" w:sz="0" w:space="0" w:color="auto"/>
                <w:bottom w:val="none" w:sz="0" w:space="0" w:color="auto"/>
                <w:right w:val="none" w:sz="0" w:space="0" w:color="auto"/>
              </w:divBdr>
            </w:div>
            <w:div w:id="663775204">
              <w:marLeft w:val="0"/>
              <w:marRight w:val="0"/>
              <w:marTop w:val="0"/>
              <w:marBottom w:val="0"/>
              <w:divBdr>
                <w:top w:val="none" w:sz="0" w:space="0" w:color="auto"/>
                <w:left w:val="none" w:sz="0" w:space="0" w:color="auto"/>
                <w:bottom w:val="none" w:sz="0" w:space="0" w:color="auto"/>
                <w:right w:val="none" w:sz="0" w:space="0" w:color="auto"/>
              </w:divBdr>
            </w:div>
            <w:div w:id="750781734">
              <w:marLeft w:val="0"/>
              <w:marRight w:val="0"/>
              <w:marTop w:val="0"/>
              <w:marBottom w:val="0"/>
              <w:divBdr>
                <w:top w:val="none" w:sz="0" w:space="0" w:color="auto"/>
                <w:left w:val="none" w:sz="0" w:space="0" w:color="auto"/>
                <w:bottom w:val="none" w:sz="0" w:space="0" w:color="auto"/>
                <w:right w:val="none" w:sz="0" w:space="0" w:color="auto"/>
              </w:divBdr>
            </w:div>
            <w:div w:id="291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8001">
      <w:bodyDiv w:val="1"/>
      <w:marLeft w:val="0"/>
      <w:marRight w:val="0"/>
      <w:marTop w:val="0"/>
      <w:marBottom w:val="0"/>
      <w:divBdr>
        <w:top w:val="none" w:sz="0" w:space="0" w:color="auto"/>
        <w:left w:val="none" w:sz="0" w:space="0" w:color="auto"/>
        <w:bottom w:val="none" w:sz="0" w:space="0" w:color="auto"/>
        <w:right w:val="none" w:sz="0" w:space="0" w:color="auto"/>
      </w:divBdr>
      <w:divsChild>
        <w:div w:id="1920628621">
          <w:marLeft w:val="0"/>
          <w:marRight w:val="0"/>
          <w:marTop w:val="0"/>
          <w:marBottom w:val="0"/>
          <w:divBdr>
            <w:top w:val="none" w:sz="0" w:space="0" w:color="auto"/>
            <w:left w:val="none" w:sz="0" w:space="0" w:color="auto"/>
            <w:bottom w:val="none" w:sz="0" w:space="0" w:color="auto"/>
            <w:right w:val="none" w:sz="0" w:space="0" w:color="auto"/>
          </w:divBdr>
          <w:divsChild>
            <w:div w:id="1031370953">
              <w:marLeft w:val="0"/>
              <w:marRight w:val="0"/>
              <w:marTop w:val="0"/>
              <w:marBottom w:val="0"/>
              <w:divBdr>
                <w:top w:val="none" w:sz="0" w:space="0" w:color="auto"/>
                <w:left w:val="none" w:sz="0" w:space="0" w:color="auto"/>
                <w:bottom w:val="none" w:sz="0" w:space="0" w:color="auto"/>
                <w:right w:val="none" w:sz="0" w:space="0" w:color="auto"/>
              </w:divBdr>
            </w:div>
            <w:div w:id="1619415556">
              <w:marLeft w:val="0"/>
              <w:marRight w:val="0"/>
              <w:marTop w:val="0"/>
              <w:marBottom w:val="0"/>
              <w:divBdr>
                <w:top w:val="none" w:sz="0" w:space="0" w:color="auto"/>
                <w:left w:val="none" w:sz="0" w:space="0" w:color="auto"/>
                <w:bottom w:val="none" w:sz="0" w:space="0" w:color="auto"/>
                <w:right w:val="none" w:sz="0" w:space="0" w:color="auto"/>
              </w:divBdr>
            </w:div>
            <w:div w:id="102530891">
              <w:marLeft w:val="0"/>
              <w:marRight w:val="0"/>
              <w:marTop w:val="0"/>
              <w:marBottom w:val="0"/>
              <w:divBdr>
                <w:top w:val="none" w:sz="0" w:space="0" w:color="auto"/>
                <w:left w:val="none" w:sz="0" w:space="0" w:color="auto"/>
                <w:bottom w:val="none" w:sz="0" w:space="0" w:color="auto"/>
                <w:right w:val="none" w:sz="0" w:space="0" w:color="auto"/>
              </w:divBdr>
            </w:div>
            <w:div w:id="430665036">
              <w:marLeft w:val="0"/>
              <w:marRight w:val="0"/>
              <w:marTop w:val="0"/>
              <w:marBottom w:val="0"/>
              <w:divBdr>
                <w:top w:val="none" w:sz="0" w:space="0" w:color="auto"/>
                <w:left w:val="none" w:sz="0" w:space="0" w:color="auto"/>
                <w:bottom w:val="none" w:sz="0" w:space="0" w:color="auto"/>
                <w:right w:val="none" w:sz="0" w:space="0" w:color="auto"/>
              </w:divBdr>
            </w:div>
            <w:div w:id="599334994">
              <w:marLeft w:val="0"/>
              <w:marRight w:val="0"/>
              <w:marTop w:val="0"/>
              <w:marBottom w:val="0"/>
              <w:divBdr>
                <w:top w:val="none" w:sz="0" w:space="0" w:color="auto"/>
                <w:left w:val="none" w:sz="0" w:space="0" w:color="auto"/>
                <w:bottom w:val="none" w:sz="0" w:space="0" w:color="auto"/>
                <w:right w:val="none" w:sz="0" w:space="0" w:color="auto"/>
              </w:divBdr>
            </w:div>
            <w:div w:id="27991915">
              <w:marLeft w:val="0"/>
              <w:marRight w:val="0"/>
              <w:marTop w:val="0"/>
              <w:marBottom w:val="0"/>
              <w:divBdr>
                <w:top w:val="none" w:sz="0" w:space="0" w:color="auto"/>
                <w:left w:val="none" w:sz="0" w:space="0" w:color="auto"/>
                <w:bottom w:val="none" w:sz="0" w:space="0" w:color="auto"/>
                <w:right w:val="none" w:sz="0" w:space="0" w:color="auto"/>
              </w:divBdr>
            </w:div>
            <w:div w:id="1353527435">
              <w:marLeft w:val="0"/>
              <w:marRight w:val="0"/>
              <w:marTop w:val="0"/>
              <w:marBottom w:val="0"/>
              <w:divBdr>
                <w:top w:val="none" w:sz="0" w:space="0" w:color="auto"/>
                <w:left w:val="none" w:sz="0" w:space="0" w:color="auto"/>
                <w:bottom w:val="none" w:sz="0" w:space="0" w:color="auto"/>
                <w:right w:val="none" w:sz="0" w:space="0" w:color="auto"/>
              </w:divBdr>
            </w:div>
            <w:div w:id="1289124277">
              <w:marLeft w:val="0"/>
              <w:marRight w:val="0"/>
              <w:marTop w:val="0"/>
              <w:marBottom w:val="0"/>
              <w:divBdr>
                <w:top w:val="none" w:sz="0" w:space="0" w:color="auto"/>
                <w:left w:val="none" w:sz="0" w:space="0" w:color="auto"/>
                <w:bottom w:val="none" w:sz="0" w:space="0" w:color="auto"/>
                <w:right w:val="none" w:sz="0" w:space="0" w:color="auto"/>
              </w:divBdr>
            </w:div>
            <w:div w:id="917640760">
              <w:marLeft w:val="0"/>
              <w:marRight w:val="0"/>
              <w:marTop w:val="0"/>
              <w:marBottom w:val="0"/>
              <w:divBdr>
                <w:top w:val="none" w:sz="0" w:space="0" w:color="auto"/>
                <w:left w:val="none" w:sz="0" w:space="0" w:color="auto"/>
                <w:bottom w:val="none" w:sz="0" w:space="0" w:color="auto"/>
                <w:right w:val="none" w:sz="0" w:space="0" w:color="auto"/>
              </w:divBdr>
            </w:div>
            <w:div w:id="1959027701">
              <w:marLeft w:val="0"/>
              <w:marRight w:val="0"/>
              <w:marTop w:val="0"/>
              <w:marBottom w:val="0"/>
              <w:divBdr>
                <w:top w:val="none" w:sz="0" w:space="0" w:color="auto"/>
                <w:left w:val="none" w:sz="0" w:space="0" w:color="auto"/>
                <w:bottom w:val="none" w:sz="0" w:space="0" w:color="auto"/>
                <w:right w:val="none" w:sz="0" w:space="0" w:color="auto"/>
              </w:divBdr>
            </w:div>
            <w:div w:id="1435058886">
              <w:marLeft w:val="0"/>
              <w:marRight w:val="0"/>
              <w:marTop w:val="0"/>
              <w:marBottom w:val="0"/>
              <w:divBdr>
                <w:top w:val="none" w:sz="0" w:space="0" w:color="auto"/>
                <w:left w:val="none" w:sz="0" w:space="0" w:color="auto"/>
                <w:bottom w:val="none" w:sz="0" w:space="0" w:color="auto"/>
                <w:right w:val="none" w:sz="0" w:space="0" w:color="auto"/>
              </w:divBdr>
            </w:div>
            <w:div w:id="1074429135">
              <w:marLeft w:val="0"/>
              <w:marRight w:val="0"/>
              <w:marTop w:val="0"/>
              <w:marBottom w:val="0"/>
              <w:divBdr>
                <w:top w:val="none" w:sz="0" w:space="0" w:color="auto"/>
                <w:left w:val="none" w:sz="0" w:space="0" w:color="auto"/>
                <w:bottom w:val="none" w:sz="0" w:space="0" w:color="auto"/>
                <w:right w:val="none" w:sz="0" w:space="0" w:color="auto"/>
              </w:divBdr>
            </w:div>
            <w:div w:id="1091396755">
              <w:marLeft w:val="0"/>
              <w:marRight w:val="0"/>
              <w:marTop w:val="0"/>
              <w:marBottom w:val="0"/>
              <w:divBdr>
                <w:top w:val="none" w:sz="0" w:space="0" w:color="auto"/>
                <w:left w:val="none" w:sz="0" w:space="0" w:color="auto"/>
                <w:bottom w:val="none" w:sz="0" w:space="0" w:color="auto"/>
                <w:right w:val="none" w:sz="0" w:space="0" w:color="auto"/>
              </w:divBdr>
            </w:div>
            <w:div w:id="57092659">
              <w:marLeft w:val="0"/>
              <w:marRight w:val="0"/>
              <w:marTop w:val="0"/>
              <w:marBottom w:val="0"/>
              <w:divBdr>
                <w:top w:val="none" w:sz="0" w:space="0" w:color="auto"/>
                <w:left w:val="none" w:sz="0" w:space="0" w:color="auto"/>
                <w:bottom w:val="none" w:sz="0" w:space="0" w:color="auto"/>
                <w:right w:val="none" w:sz="0" w:space="0" w:color="auto"/>
              </w:divBdr>
            </w:div>
            <w:div w:id="2122799976">
              <w:marLeft w:val="0"/>
              <w:marRight w:val="0"/>
              <w:marTop w:val="0"/>
              <w:marBottom w:val="0"/>
              <w:divBdr>
                <w:top w:val="none" w:sz="0" w:space="0" w:color="auto"/>
                <w:left w:val="none" w:sz="0" w:space="0" w:color="auto"/>
                <w:bottom w:val="none" w:sz="0" w:space="0" w:color="auto"/>
                <w:right w:val="none" w:sz="0" w:space="0" w:color="auto"/>
              </w:divBdr>
            </w:div>
            <w:div w:id="1001202121">
              <w:marLeft w:val="0"/>
              <w:marRight w:val="0"/>
              <w:marTop w:val="0"/>
              <w:marBottom w:val="0"/>
              <w:divBdr>
                <w:top w:val="none" w:sz="0" w:space="0" w:color="auto"/>
                <w:left w:val="none" w:sz="0" w:space="0" w:color="auto"/>
                <w:bottom w:val="none" w:sz="0" w:space="0" w:color="auto"/>
                <w:right w:val="none" w:sz="0" w:space="0" w:color="auto"/>
              </w:divBdr>
            </w:div>
            <w:div w:id="854684843">
              <w:marLeft w:val="0"/>
              <w:marRight w:val="0"/>
              <w:marTop w:val="0"/>
              <w:marBottom w:val="0"/>
              <w:divBdr>
                <w:top w:val="none" w:sz="0" w:space="0" w:color="auto"/>
                <w:left w:val="none" w:sz="0" w:space="0" w:color="auto"/>
                <w:bottom w:val="none" w:sz="0" w:space="0" w:color="auto"/>
                <w:right w:val="none" w:sz="0" w:space="0" w:color="auto"/>
              </w:divBdr>
            </w:div>
            <w:div w:id="2032342373">
              <w:marLeft w:val="0"/>
              <w:marRight w:val="0"/>
              <w:marTop w:val="0"/>
              <w:marBottom w:val="0"/>
              <w:divBdr>
                <w:top w:val="none" w:sz="0" w:space="0" w:color="auto"/>
                <w:left w:val="none" w:sz="0" w:space="0" w:color="auto"/>
                <w:bottom w:val="none" w:sz="0" w:space="0" w:color="auto"/>
                <w:right w:val="none" w:sz="0" w:space="0" w:color="auto"/>
              </w:divBdr>
            </w:div>
            <w:div w:id="15859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8396">
      <w:bodyDiv w:val="1"/>
      <w:marLeft w:val="0"/>
      <w:marRight w:val="0"/>
      <w:marTop w:val="0"/>
      <w:marBottom w:val="0"/>
      <w:divBdr>
        <w:top w:val="none" w:sz="0" w:space="0" w:color="auto"/>
        <w:left w:val="none" w:sz="0" w:space="0" w:color="auto"/>
        <w:bottom w:val="none" w:sz="0" w:space="0" w:color="auto"/>
        <w:right w:val="none" w:sz="0" w:space="0" w:color="auto"/>
      </w:divBdr>
      <w:divsChild>
        <w:div w:id="771824869">
          <w:marLeft w:val="0"/>
          <w:marRight w:val="0"/>
          <w:marTop w:val="0"/>
          <w:marBottom w:val="0"/>
          <w:divBdr>
            <w:top w:val="none" w:sz="0" w:space="0" w:color="auto"/>
            <w:left w:val="none" w:sz="0" w:space="0" w:color="auto"/>
            <w:bottom w:val="none" w:sz="0" w:space="0" w:color="auto"/>
            <w:right w:val="none" w:sz="0" w:space="0" w:color="auto"/>
          </w:divBdr>
          <w:divsChild>
            <w:div w:id="1064181088">
              <w:marLeft w:val="0"/>
              <w:marRight w:val="0"/>
              <w:marTop w:val="0"/>
              <w:marBottom w:val="0"/>
              <w:divBdr>
                <w:top w:val="none" w:sz="0" w:space="0" w:color="auto"/>
                <w:left w:val="none" w:sz="0" w:space="0" w:color="auto"/>
                <w:bottom w:val="none" w:sz="0" w:space="0" w:color="auto"/>
                <w:right w:val="none" w:sz="0" w:space="0" w:color="auto"/>
              </w:divBdr>
            </w:div>
            <w:div w:id="263264873">
              <w:marLeft w:val="0"/>
              <w:marRight w:val="0"/>
              <w:marTop w:val="0"/>
              <w:marBottom w:val="0"/>
              <w:divBdr>
                <w:top w:val="none" w:sz="0" w:space="0" w:color="auto"/>
                <w:left w:val="none" w:sz="0" w:space="0" w:color="auto"/>
                <w:bottom w:val="none" w:sz="0" w:space="0" w:color="auto"/>
                <w:right w:val="none" w:sz="0" w:space="0" w:color="auto"/>
              </w:divBdr>
            </w:div>
            <w:div w:id="1039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3" Type="http://schemas.openxmlformats.org/officeDocument/2006/relationships/settings" Target="settings.xml"/><Relationship Id="rId7" Type="http://schemas.openxmlformats.org/officeDocument/2006/relationships/hyperlink" Target="http://www.sbp-c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bp.chainpoint.com/netapp/ImageHandler.ashx?id=84a6f7e6-5f3e-42e6-805a-07cc11783482" TargetMode="External"/><Relationship Id="rId11" Type="http://schemas.openxmlformats.org/officeDocument/2006/relationships/theme" Target="theme/theme1.xml"/><Relationship Id="rId5" Type="http://schemas.openxmlformats.org/officeDocument/2006/relationships/image" Target="https://sbp.chainpoint.com/netapp/ImageHandler.ashx?id=e625b895-39d3-4326-894d-978e98a624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p-cert.org/documents/standards-documents/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20K&#228;rmas\Documents\SB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SBP</Template>
  <TotalTime>4</TotalTime>
  <Pages>19</Pages>
  <Words>12980</Words>
  <Characters>7400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Lauir Karmas</dc:creator>
  <cp:keywords/>
  <dc:description/>
  <cp:lastModifiedBy>Rūta Gaber</cp:lastModifiedBy>
  <cp:revision>2</cp:revision>
  <cp:lastPrinted>2020-09-01T18:40:00Z</cp:lastPrinted>
  <dcterms:created xsi:type="dcterms:W3CDTF">2021-11-09T11:20:00Z</dcterms:created>
  <dcterms:modified xsi:type="dcterms:W3CDTF">2021-11-09T11:20:00Z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0x010100654AA59EA428C04EB7904C621BF20D90</vt:lpwstr>
  </property>
</Properties>
</file>